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6E32" w14:textId="79A4BC6F" w:rsidR="00A46F23" w:rsidRPr="00A556B6" w:rsidRDefault="00143329" w:rsidP="00A46F23">
      <w:pPr>
        <w:pStyle w:val="Retraitcorpsdetexte"/>
        <w:pBdr>
          <w:top w:val="none" w:sz="0" w:space="0" w:color="auto"/>
          <w:left w:val="none" w:sz="0" w:space="0" w:color="auto"/>
          <w:bottom w:val="none" w:sz="0" w:space="0" w:color="auto"/>
          <w:right w:val="none" w:sz="0" w:space="0" w:color="auto"/>
        </w:pBdr>
        <w:ind w:left="0"/>
        <w:rPr>
          <w:rFonts w:asciiTheme="minorHAnsi" w:eastAsiaTheme="majorEastAsia" w:hAnsiTheme="minorHAnsi" w:cstheme="minorHAnsi"/>
          <w:bCs w:val="0"/>
          <w:sz w:val="32"/>
          <w:szCs w:val="32"/>
        </w:rPr>
      </w:pPr>
      <w:r w:rsidRPr="00A556B6">
        <w:rPr>
          <w:rFonts w:asciiTheme="minorHAnsi" w:eastAsiaTheme="majorEastAsia" w:hAnsiTheme="minorHAnsi" w:cstheme="minorHAnsi"/>
          <w:bCs w:val="0"/>
          <w:sz w:val="32"/>
          <w:szCs w:val="32"/>
        </w:rPr>
        <w:t xml:space="preserve">Information du </w:t>
      </w:r>
      <w:r w:rsidR="00C2263D" w:rsidRPr="00A556B6">
        <w:rPr>
          <w:rFonts w:asciiTheme="minorHAnsi" w:eastAsiaTheme="majorEastAsia" w:hAnsiTheme="minorHAnsi" w:cstheme="minorHAnsi"/>
          <w:bCs w:val="0"/>
          <w:sz w:val="32"/>
          <w:szCs w:val="32"/>
        </w:rPr>
        <w:t>Comité Social Territorial</w:t>
      </w:r>
    </w:p>
    <w:p w14:paraId="38616E33" w14:textId="77777777" w:rsidR="00A46F23" w:rsidRPr="00996F05" w:rsidRDefault="00A46F23" w:rsidP="00A46F23">
      <w:pPr>
        <w:pStyle w:val="En-tte"/>
        <w:tabs>
          <w:tab w:val="clear" w:pos="4536"/>
          <w:tab w:val="clear" w:pos="9072"/>
        </w:tabs>
        <w:rPr>
          <w:rFonts w:asciiTheme="minorHAnsi" w:hAnsiTheme="minorHAnsi" w:cstheme="minorHAnsi"/>
          <w:sz w:val="22"/>
          <w:szCs w:val="22"/>
        </w:rPr>
      </w:pPr>
    </w:p>
    <w:p w14:paraId="38616E34"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b/>
          <w:bCs/>
          <w:sz w:val="22"/>
          <w:szCs w:val="22"/>
          <w:u w:val="single"/>
        </w:rPr>
      </w:pPr>
    </w:p>
    <w:p w14:paraId="38616E35"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r w:rsidRPr="00A556B6">
        <w:rPr>
          <w:rFonts w:asciiTheme="minorHAnsi" w:eastAsiaTheme="majorEastAsia" w:hAnsiTheme="minorHAnsi" w:cstheme="minorHAnsi"/>
          <w:b/>
          <w:sz w:val="32"/>
          <w:szCs w:val="32"/>
        </w:rPr>
        <w:t>COLLECTIVITE :</w:t>
      </w:r>
      <w:r w:rsidRPr="00996F05">
        <w:rPr>
          <w:rFonts w:asciiTheme="minorHAnsi" w:hAnsiTheme="minorHAnsi" w:cstheme="minorHAnsi"/>
          <w:sz w:val="22"/>
          <w:szCs w:val="22"/>
        </w:rPr>
        <w:t xml:space="preserve"> </w:t>
      </w:r>
      <w:r w:rsidRPr="00996F05">
        <w:rPr>
          <w:rFonts w:asciiTheme="minorHAnsi" w:hAnsiTheme="minorHAnsi" w:cstheme="minorHAnsi"/>
          <w:sz w:val="22"/>
          <w:szCs w:val="22"/>
        </w:rPr>
        <w:tab/>
      </w:r>
    </w:p>
    <w:p w14:paraId="38616E36" w14:textId="5D0017D3"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r w:rsidRPr="00996F05">
        <w:rPr>
          <w:rFonts w:asciiTheme="minorHAnsi" w:hAnsiTheme="minorHAnsi" w:cstheme="minorHAnsi"/>
          <w:sz w:val="22"/>
          <w:szCs w:val="22"/>
        </w:rPr>
        <w:tab/>
      </w:r>
    </w:p>
    <w:p w14:paraId="38616E37"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p>
    <w:p w14:paraId="7F3B390A" w14:textId="77777777" w:rsidR="00F55F46" w:rsidRDefault="00F55F46" w:rsidP="00A46F23">
      <w:pPr>
        <w:rPr>
          <w:rFonts w:asciiTheme="minorHAnsi" w:hAnsiTheme="minorHAnsi" w:cstheme="minorHAnsi"/>
          <w:b/>
          <w:bCs/>
          <w:color w:val="000000" w:themeColor="text1"/>
          <w:sz w:val="22"/>
          <w:szCs w:val="22"/>
          <w:u w:val="single"/>
        </w:rPr>
      </w:pPr>
    </w:p>
    <w:p w14:paraId="23A54015" w14:textId="75EFAE7E" w:rsidR="00F55F46" w:rsidRPr="00BE225E" w:rsidRDefault="00F55F46" w:rsidP="00F55F46">
      <w:pPr>
        <w:ind w:right="-567"/>
        <w:jc w:val="both"/>
        <w:rPr>
          <w:rFonts w:asciiTheme="minorHAnsi" w:hAnsiTheme="minorHAnsi" w:cstheme="minorHAnsi"/>
          <w:bCs/>
        </w:rPr>
      </w:pPr>
      <w:r>
        <w:rPr>
          <w:rFonts w:asciiTheme="minorHAnsi" w:eastAsiaTheme="majorEastAsia" w:hAnsiTheme="minorHAnsi" w:cstheme="minorHAnsi"/>
          <w:b/>
          <w:sz w:val="32"/>
          <w:szCs w:val="32"/>
        </w:rPr>
        <w:t xml:space="preserve">Réforme de la </w:t>
      </w:r>
      <w:r w:rsidRPr="00BE225E">
        <w:rPr>
          <w:rFonts w:asciiTheme="minorHAnsi" w:eastAsiaTheme="majorEastAsia" w:hAnsiTheme="minorHAnsi" w:cstheme="minorHAnsi"/>
          <w:b/>
          <w:sz w:val="32"/>
          <w:szCs w:val="32"/>
        </w:rPr>
        <w:t>Protection sociale complémentaire – Conventions de participation pour la couverture du risque Prévoyance des agents</w:t>
      </w:r>
    </w:p>
    <w:p w14:paraId="15981F40" w14:textId="77777777" w:rsidR="00F55F46" w:rsidRDefault="00F55F46" w:rsidP="00F55F46">
      <w:pPr>
        <w:ind w:right="-567"/>
        <w:jc w:val="both"/>
        <w:rPr>
          <w:rFonts w:cstheme="minorHAnsi"/>
          <w:bCs/>
        </w:rPr>
      </w:pPr>
    </w:p>
    <w:p w14:paraId="07F3A7E1" w14:textId="02EA286B" w:rsidR="00F55F46" w:rsidRPr="00AB28A5" w:rsidRDefault="00203CB7" w:rsidP="00F55F46">
      <w:pPr>
        <w:rPr>
          <w:rFonts w:ascii="Verdana" w:hAnsi="Verdana" w:cstheme="minorHAnsi"/>
          <w:b/>
          <w:sz w:val="24"/>
          <w:szCs w:val="28"/>
        </w:rPr>
      </w:pPr>
      <w:r>
        <w:rPr>
          <w:rFonts w:ascii="Verdana" w:hAnsi="Verdana" w:cstheme="minorHAnsi"/>
          <w:b/>
          <w:sz w:val="24"/>
          <w:szCs w:val="28"/>
        </w:rPr>
        <w:t>Textes de référence</w:t>
      </w:r>
    </w:p>
    <w:p w14:paraId="38A9AC7A" w14:textId="77777777" w:rsidR="00F55F46" w:rsidRDefault="00F55F46" w:rsidP="00A46F23">
      <w:pPr>
        <w:rPr>
          <w:rFonts w:asciiTheme="minorHAnsi" w:hAnsiTheme="minorHAnsi" w:cstheme="minorHAnsi"/>
          <w:b/>
          <w:bCs/>
          <w:color w:val="000000" w:themeColor="text1"/>
          <w:sz w:val="22"/>
          <w:szCs w:val="22"/>
          <w:u w:val="single"/>
        </w:rPr>
      </w:pPr>
    </w:p>
    <w:p w14:paraId="16AF8365" w14:textId="1401185A"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Article</w:t>
      </w:r>
      <w:r w:rsidR="00C5382C" w:rsidRPr="00996F05">
        <w:rPr>
          <w:rFonts w:asciiTheme="minorHAnsi" w:hAnsiTheme="minorHAnsi" w:cstheme="minorHAnsi"/>
          <w:color w:val="000000" w:themeColor="text1"/>
          <w:sz w:val="22"/>
          <w:szCs w:val="22"/>
        </w:rPr>
        <w:t xml:space="preserve"> 40 de la loi </w:t>
      </w:r>
      <w:r w:rsidR="00C5382C" w:rsidRPr="00996F05">
        <w:rPr>
          <w:rFonts w:asciiTheme="minorHAnsi" w:hAnsiTheme="minorHAnsi" w:cstheme="minorHAnsi"/>
          <w:color w:val="000000" w:themeColor="text1"/>
          <w:sz w:val="22"/>
          <w:szCs w:val="22"/>
          <w:shd w:val="clear" w:color="auto" w:fill="FFFFFF"/>
        </w:rPr>
        <w:t>n° 2019-828 du 6 août 2019 de transformation de la fonction publique ;</w:t>
      </w:r>
    </w:p>
    <w:p w14:paraId="07DC052A"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Code Général des Collectivités Territoriales ;</w:t>
      </w:r>
    </w:p>
    <w:p w14:paraId="4BF873A6"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Code général de la fonction publique, et notamment les articles L.452-11, L. 221-1 à L. 227-4 et L. 827-1 à L. 827-12 ;</w:t>
      </w:r>
    </w:p>
    <w:p w14:paraId="182B7B50"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Code de la commande publique et notamment ses articles L.2113-6 à L.2113-8 ;</w:t>
      </w:r>
    </w:p>
    <w:p w14:paraId="1186FBC0"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D</w:t>
      </w:r>
      <w:r w:rsidR="00C5382C" w:rsidRPr="00996F05">
        <w:rPr>
          <w:rFonts w:asciiTheme="minorHAnsi" w:hAnsiTheme="minorHAnsi" w:cstheme="minorHAnsi"/>
          <w:color w:val="000000" w:themeColor="text1"/>
          <w:sz w:val="22"/>
          <w:szCs w:val="22"/>
        </w:rPr>
        <w:t>écret n°2011-1474 du 8 novembre 2011 relatif à la participation des collectivités territoriales et leurs établissements publics au financement de la protection sociale complémentaire de leurs agents ;</w:t>
      </w:r>
    </w:p>
    <w:p w14:paraId="3E4C700E"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C</w:t>
      </w:r>
      <w:r w:rsidR="00C5382C" w:rsidRPr="00996F05">
        <w:rPr>
          <w:rFonts w:asciiTheme="minorHAnsi" w:hAnsiTheme="minorHAnsi" w:cstheme="minorHAnsi"/>
          <w:color w:val="000000" w:themeColor="text1"/>
          <w:sz w:val="22"/>
          <w:szCs w:val="22"/>
        </w:rPr>
        <w:t>irculaire N°RDFB 1220789 C du 25 mai 2012 relative à la participation des collectivités territoriales et des établissements publics à la protection sociale complémentaire de leurs agents ;</w:t>
      </w:r>
    </w:p>
    <w:p w14:paraId="15550EEB"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O</w:t>
      </w:r>
      <w:r w:rsidR="00C5382C" w:rsidRPr="00996F05">
        <w:rPr>
          <w:rFonts w:asciiTheme="minorHAnsi" w:eastAsiaTheme="minorHAnsi" w:hAnsiTheme="minorHAnsi" w:cstheme="minorHAnsi"/>
          <w:color w:val="000000" w:themeColor="text1"/>
          <w:sz w:val="22"/>
          <w:szCs w:val="22"/>
          <w:lang w:eastAsia="en-US"/>
        </w:rPr>
        <w:t>rdonnance 2021-174 du 17 février 2021 relative à la négociation et aux accords collectifs dans la fonction publique</w:t>
      </w:r>
      <w:r w:rsidR="00C5382C" w:rsidRPr="00996F05">
        <w:rPr>
          <w:rFonts w:asciiTheme="minorHAnsi" w:eastAsiaTheme="minorHAnsi" w:hAnsiTheme="minorHAnsi" w:cstheme="minorHAnsi"/>
          <w:b/>
          <w:color w:val="000000" w:themeColor="text1"/>
          <w:sz w:val="22"/>
          <w:szCs w:val="22"/>
          <w:lang w:eastAsia="en-US"/>
        </w:rPr>
        <w:t> ;</w:t>
      </w:r>
    </w:p>
    <w:p w14:paraId="0DE74990"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eastAsiaTheme="minorHAnsi" w:hAnsiTheme="minorHAnsi" w:cstheme="minorHAnsi"/>
          <w:bCs/>
          <w:color w:val="000000" w:themeColor="text1"/>
          <w:sz w:val="22"/>
          <w:szCs w:val="22"/>
          <w:lang w:eastAsia="en-US"/>
        </w:rPr>
        <w:t>O</w:t>
      </w:r>
      <w:r w:rsidR="00C5382C" w:rsidRPr="00996F05">
        <w:rPr>
          <w:rFonts w:asciiTheme="minorHAnsi" w:hAnsiTheme="minorHAnsi" w:cstheme="minorHAnsi"/>
          <w:bCs/>
          <w:color w:val="000000" w:themeColor="text1"/>
          <w:sz w:val="22"/>
          <w:szCs w:val="22"/>
        </w:rPr>
        <w:t xml:space="preserve">rdonnance 2021-175 du 17 février 2021 </w:t>
      </w:r>
      <w:r w:rsidR="00C5382C" w:rsidRPr="00996F05">
        <w:rPr>
          <w:rFonts w:asciiTheme="minorHAnsi" w:hAnsiTheme="minorHAnsi" w:cstheme="minorHAnsi"/>
          <w:color w:val="000000" w:themeColor="text1"/>
          <w:kern w:val="3"/>
          <w:sz w:val="22"/>
          <w:szCs w:val="22"/>
        </w:rPr>
        <w:t>relative à la protection sociale complémentaire dans la fonction publique ;</w:t>
      </w:r>
    </w:p>
    <w:p w14:paraId="19204E3F"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eastAsiaTheme="minorHAnsi" w:hAnsiTheme="minorHAnsi" w:cstheme="minorHAnsi"/>
          <w:color w:val="000000" w:themeColor="text1"/>
          <w:sz w:val="22"/>
          <w:szCs w:val="22"/>
          <w:lang w:eastAsia="en-US"/>
        </w:rPr>
        <w:t>D</w:t>
      </w:r>
      <w:r w:rsidR="00C5382C" w:rsidRPr="00996F05">
        <w:rPr>
          <w:rFonts w:asciiTheme="minorHAnsi" w:eastAsiaTheme="minorHAnsi" w:hAnsiTheme="minorHAnsi" w:cstheme="minorHAnsi"/>
          <w:color w:val="000000" w:themeColor="text1"/>
          <w:sz w:val="22"/>
          <w:szCs w:val="22"/>
          <w:lang w:eastAsia="en-US"/>
        </w:rPr>
        <w:t>écret 2022-581 du 20 avril 2022 relatif aux garanties de protection sociale complémentaire et à la participation obligatoire des collectivités territoriales et de leurs établissements publics à leur financement</w:t>
      </w:r>
      <w:r w:rsidR="00C5382C" w:rsidRPr="00996F05">
        <w:rPr>
          <w:rFonts w:asciiTheme="minorHAnsi" w:eastAsiaTheme="minorHAnsi" w:hAnsiTheme="minorHAnsi" w:cstheme="minorHAnsi"/>
          <w:b/>
          <w:color w:val="000000" w:themeColor="text1"/>
          <w:sz w:val="22"/>
          <w:szCs w:val="22"/>
          <w:lang w:eastAsia="en-US"/>
        </w:rPr>
        <w:t> ;</w:t>
      </w:r>
    </w:p>
    <w:p w14:paraId="64210D7B" w14:textId="047650AC" w:rsidR="00C5382C"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A</w:t>
      </w:r>
      <w:r w:rsidR="00C5382C" w:rsidRPr="00996F05">
        <w:rPr>
          <w:rFonts w:asciiTheme="minorHAnsi" w:hAnsiTheme="minorHAnsi" w:cstheme="minorHAnsi"/>
          <w:bCs/>
          <w:color w:val="000000" w:themeColor="text1"/>
          <w:sz w:val="22"/>
          <w:szCs w:val="22"/>
        </w:rPr>
        <w:t>ccord collectif national du 11 juillet 2023 portant réforme de la Protection Sociale Complémentaire dans la Fonction Publique Territoriale ;</w:t>
      </w:r>
    </w:p>
    <w:p w14:paraId="405DA5C2" w14:textId="77777777" w:rsidR="00E97466" w:rsidRDefault="00E97466" w:rsidP="00A46F23">
      <w:pPr>
        <w:pStyle w:val="En-tte"/>
        <w:tabs>
          <w:tab w:val="clear" w:pos="4536"/>
          <w:tab w:val="clear" w:pos="9072"/>
        </w:tabs>
        <w:rPr>
          <w:rFonts w:asciiTheme="minorHAnsi" w:hAnsiTheme="minorHAnsi" w:cstheme="minorHAnsi"/>
          <w:sz w:val="22"/>
          <w:szCs w:val="22"/>
        </w:rPr>
      </w:pPr>
    </w:p>
    <w:p w14:paraId="787445A9" w14:textId="41978384" w:rsidR="00203CB7" w:rsidRPr="00AB28A5" w:rsidRDefault="00203CB7" w:rsidP="00203CB7">
      <w:pPr>
        <w:rPr>
          <w:rFonts w:ascii="Verdana" w:hAnsi="Verdana" w:cstheme="minorHAnsi"/>
          <w:b/>
          <w:sz w:val="24"/>
          <w:szCs w:val="28"/>
        </w:rPr>
      </w:pPr>
      <w:r>
        <w:rPr>
          <w:rFonts w:ascii="Verdana" w:hAnsi="Verdana" w:cstheme="minorHAnsi"/>
          <w:b/>
          <w:sz w:val="24"/>
          <w:szCs w:val="28"/>
        </w:rPr>
        <w:t>Présentation du contexte</w:t>
      </w:r>
    </w:p>
    <w:p w14:paraId="4DAD361A" w14:textId="77777777" w:rsidR="00641605" w:rsidRPr="00996F05" w:rsidRDefault="00641605" w:rsidP="00A46F23">
      <w:pPr>
        <w:pStyle w:val="En-tte"/>
        <w:tabs>
          <w:tab w:val="clear" w:pos="4536"/>
          <w:tab w:val="clear" w:pos="9072"/>
        </w:tabs>
        <w:rPr>
          <w:rFonts w:asciiTheme="minorHAnsi" w:hAnsiTheme="minorHAnsi" w:cstheme="minorHAnsi"/>
          <w:sz w:val="22"/>
          <w:szCs w:val="22"/>
        </w:rPr>
      </w:pPr>
    </w:p>
    <w:p w14:paraId="672214B7" w14:textId="46E1A111" w:rsidR="00EA096B"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 xml:space="preserve">La réforme de la protection sociale complémentaire (PSC) dans la fonction publique territoriale, initiée par l’ordonnance n°2021-175 du 17 février 2021, </w:t>
      </w:r>
      <w:r w:rsidR="008B2721" w:rsidRPr="00996F05">
        <w:rPr>
          <w:rFonts w:asciiTheme="minorHAnsi" w:hAnsiTheme="minorHAnsi" w:cstheme="minorHAnsi"/>
          <w:sz w:val="22"/>
          <w:szCs w:val="22"/>
        </w:rPr>
        <w:t>introduit</w:t>
      </w:r>
      <w:r w:rsidR="008B2721">
        <w:rPr>
          <w:rFonts w:asciiTheme="minorHAnsi" w:hAnsiTheme="minorHAnsi" w:cstheme="minorHAnsi"/>
          <w:sz w:val="22"/>
          <w:szCs w:val="22"/>
        </w:rPr>
        <w:t xml:space="preserve"> </w:t>
      </w:r>
      <w:r w:rsidR="00EA096B">
        <w:rPr>
          <w:rFonts w:asciiTheme="minorHAnsi" w:hAnsiTheme="minorHAnsi" w:cstheme="minorHAnsi"/>
          <w:sz w:val="22"/>
          <w:szCs w:val="22"/>
        </w:rPr>
        <w:t xml:space="preserve">pour les </w:t>
      </w:r>
      <w:r w:rsidR="00EA096B" w:rsidRPr="00996F05">
        <w:rPr>
          <w:rFonts w:asciiTheme="minorHAnsi" w:hAnsiTheme="minorHAnsi" w:cstheme="minorHAnsi"/>
          <w:sz w:val="22"/>
          <w:szCs w:val="22"/>
        </w:rPr>
        <w:t>employeurs publics territoriaux</w:t>
      </w:r>
      <w:r w:rsidR="00EA096B">
        <w:rPr>
          <w:rFonts w:asciiTheme="minorHAnsi" w:hAnsiTheme="minorHAnsi" w:cstheme="minorHAnsi"/>
          <w:sz w:val="22"/>
          <w:szCs w:val="22"/>
        </w:rPr>
        <w:t xml:space="preserve"> </w:t>
      </w:r>
      <w:r w:rsidR="008B2721" w:rsidRPr="00996F05">
        <w:rPr>
          <w:rFonts w:asciiTheme="minorHAnsi" w:hAnsiTheme="minorHAnsi" w:cstheme="minorHAnsi"/>
          <w:sz w:val="22"/>
          <w:szCs w:val="22"/>
        </w:rPr>
        <w:t xml:space="preserve">une obligation </w:t>
      </w:r>
      <w:r w:rsidR="00EA096B">
        <w:rPr>
          <w:rFonts w:asciiTheme="minorHAnsi" w:hAnsiTheme="minorHAnsi" w:cstheme="minorHAnsi"/>
          <w:sz w:val="22"/>
          <w:szCs w:val="22"/>
        </w:rPr>
        <w:t>de participation</w:t>
      </w:r>
      <w:r w:rsidR="002F297A">
        <w:rPr>
          <w:rFonts w:asciiTheme="minorHAnsi" w:hAnsiTheme="minorHAnsi" w:cstheme="minorHAnsi"/>
          <w:sz w:val="22"/>
          <w:szCs w:val="22"/>
        </w:rPr>
        <w:t xml:space="preserve"> </w:t>
      </w:r>
      <w:r w:rsidR="002F297A" w:rsidRPr="00996F05">
        <w:rPr>
          <w:rFonts w:asciiTheme="minorHAnsi" w:hAnsiTheme="minorHAnsi" w:cstheme="minorHAnsi"/>
          <w:sz w:val="22"/>
          <w:szCs w:val="22"/>
        </w:rPr>
        <w:t>financière à la couverture du risque Prévoyance de leurs agents à compter du 1</w:t>
      </w:r>
      <w:r w:rsidR="002F297A" w:rsidRPr="00996F05">
        <w:rPr>
          <w:rFonts w:asciiTheme="minorHAnsi" w:hAnsiTheme="minorHAnsi" w:cstheme="minorHAnsi"/>
          <w:sz w:val="22"/>
          <w:szCs w:val="22"/>
          <w:vertAlign w:val="superscript"/>
        </w:rPr>
        <w:t>er</w:t>
      </w:r>
      <w:r w:rsidR="002F297A" w:rsidRPr="00996F05">
        <w:rPr>
          <w:rFonts w:asciiTheme="minorHAnsi" w:hAnsiTheme="minorHAnsi" w:cstheme="minorHAnsi"/>
          <w:sz w:val="22"/>
          <w:szCs w:val="22"/>
        </w:rPr>
        <w:t xml:space="preserve"> janvier 2025, puis à celle des risques frais de Santé à compter du 1</w:t>
      </w:r>
      <w:r w:rsidR="002F297A" w:rsidRPr="00996F05">
        <w:rPr>
          <w:rFonts w:asciiTheme="minorHAnsi" w:hAnsiTheme="minorHAnsi" w:cstheme="minorHAnsi"/>
          <w:sz w:val="22"/>
          <w:szCs w:val="22"/>
          <w:vertAlign w:val="superscript"/>
        </w:rPr>
        <w:t>er</w:t>
      </w:r>
      <w:r w:rsidR="002F297A" w:rsidRPr="00996F05">
        <w:rPr>
          <w:rFonts w:asciiTheme="minorHAnsi" w:hAnsiTheme="minorHAnsi" w:cstheme="minorHAnsi"/>
          <w:sz w:val="22"/>
          <w:szCs w:val="22"/>
        </w:rPr>
        <w:t xml:space="preserve"> janvier 2026, ainsi que des niveaux minimums de couverture pour chacun des risques. Le décret n°2022-581 du 20 avril 2022 est venu en préciser les modalités</w:t>
      </w:r>
    </w:p>
    <w:p w14:paraId="66687191" w14:textId="77777777" w:rsidR="00143329" w:rsidRPr="00996F05" w:rsidRDefault="00143329" w:rsidP="00143329">
      <w:pPr>
        <w:pStyle w:val="Pieddepage"/>
        <w:jc w:val="both"/>
        <w:rPr>
          <w:rFonts w:asciiTheme="minorHAnsi" w:hAnsiTheme="minorHAnsi" w:cstheme="minorHAnsi"/>
          <w:sz w:val="22"/>
          <w:szCs w:val="22"/>
        </w:rPr>
      </w:pPr>
    </w:p>
    <w:p w14:paraId="4FD9A749" w14:textId="4CBD6354"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L’accord collectif national signé le 11 juillet 2023 par l’ensemble des associations représentatives d’employeurs territoriaux et des organisations syndicales représentatives de la fonction publique territoriale vient renforcer les droits de</w:t>
      </w:r>
      <w:r w:rsidR="00BB4508">
        <w:rPr>
          <w:rFonts w:asciiTheme="minorHAnsi" w:hAnsiTheme="minorHAnsi" w:cstheme="minorHAnsi"/>
          <w:sz w:val="22"/>
          <w:szCs w:val="22"/>
        </w:rPr>
        <w:t xml:space="preserve">s </w:t>
      </w:r>
      <w:r w:rsidRPr="00996F05">
        <w:rPr>
          <w:rFonts w:asciiTheme="minorHAnsi" w:hAnsiTheme="minorHAnsi" w:cstheme="minorHAnsi"/>
          <w:sz w:val="22"/>
          <w:szCs w:val="22"/>
        </w:rPr>
        <w:t>agents, en instituant notamment la généralisation de l’adhésion obligatoire des agents aux garanties Prévoyance dans le cadre de contrats collectifs conclus par l’employeur au plus tard le 1</w:t>
      </w:r>
      <w:r w:rsidRPr="00996F05">
        <w:rPr>
          <w:rFonts w:asciiTheme="minorHAnsi" w:hAnsiTheme="minorHAnsi" w:cstheme="minorHAnsi"/>
          <w:sz w:val="22"/>
          <w:szCs w:val="22"/>
          <w:vertAlign w:val="superscript"/>
        </w:rPr>
        <w:t>er</w:t>
      </w:r>
      <w:r w:rsidRPr="00996F05">
        <w:rPr>
          <w:rFonts w:asciiTheme="minorHAnsi" w:hAnsiTheme="minorHAnsi" w:cstheme="minorHAnsi"/>
          <w:sz w:val="22"/>
          <w:szCs w:val="22"/>
        </w:rPr>
        <w:t xml:space="preserve"> janvier 2025</w:t>
      </w:r>
      <w:r w:rsidR="00955083">
        <w:rPr>
          <w:rFonts w:asciiTheme="minorHAnsi" w:hAnsiTheme="minorHAnsi" w:cstheme="minorHAnsi"/>
          <w:sz w:val="22"/>
          <w:szCs w:val="22"/>
        </w:rPr>
        <w:t>.</w:t>
      </w:r>
      <w:r w:rsidRPr="00996F05">
        <w:rPr>
          <w:rFonts w:asciiTheme="minorHAnsi" w:hAnsiTheme="minorHAnsi" w:cstheme="minorHAnsi"/>
          <w:sz w:val="22"/>
          <w:szCs w:val="22"/>
        </w:rPr>
        <w:t xml:space="preserve"> </w:t>
      </w:r>
    </w:p>
    <w:p w14:paraId="6BF36CAA" w14:textId="77777777" w:rsidR="00143329" w:rsidRPr="00996F05" w:rsidRDefault="00143329" w:rsidP="00143329">
      <w:pPr>
        <w:jc w:val="both"/>
        <w:rPr>
          <w:rFonts w:asciiTheme="minorHAnsi" w:hAnsiTheme="minorHAnsi" w:cstheme="minorHAnsi"/>
          <w:sz w:val="22"/>
          <w:szCs w:val="22"/>
        </w:rPr>
      </w:pPr>
    </w:p>
    <w:p w14:paraId="749CAB18" w14:textId="77777777"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En premier lieu, le niveau des garanties offertes sera différent. Les contrats collectifs de Prévoyance à adhésion obligatoire devront en effet prévoir un niveau minimum de garantie couvrant tous les agents pour les risques Incapacité Temporaire de Travail et Invalidité à hauteur de 90% de la rémunération annuelle nette (TBI, NBI, RI).</w:t>
      </w:r>
    </w:p>
    <w:p w14:paraId="395CA2CB" w14:textId="77777777" w:rsidR="00143329" w:rsidRPr="00996F05" w:rsidRDefault="00143329" w:rsidP="00143329">
      <w:pPr>
        <w:jc w:val="both"/>
        <w:rPr>
          <w:rFonts w:asciiTheme="minorHAnsi" w:hAnsiTheme="minorHAnsi" w:cstheme="minorHAnsi"/>
          <w:sz w:val="22"/>
          <w:szCs w:val="22"/>
        </w:rPr>
      </w:pPr>
    </w:p>
    <w:p w14:paraId="31DE0EF4" w14:textId="189879DD"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En second lieu, c’est la participation des employeurs publics territoriaux qui change, avec une prise en charge, au minimum à hauteur de 50% des cotisations acquittées par les agents au titre du régime de base à adhésion obligatoire</w:t>
      </w:r>
      <w:r w:rsidR="00955083">
        <w:rPr>
          <w:rFonts w:asciiTheme="minorHAnsi" w:hAnsiTheme="minorHAnsi" w:cstheme="minorHAnsi"/>
          <w:sz w:val="22"/>
          <w:szCs w:val="22"/>
        </w:rPr>
        <w:t>.</w:t>
      </w:r>
      <w:r w:rsidRPr="00996F05">
        <w:rPr>
          <w:rFonts w:asciiTheme="minorHAnsi" w:hAnsiTheme="minorHAnsi" w:cstheme="minorHAnsi"/>
          <w:sz w:val="22"/>
          <w:szCs w:val="22"/>
        </w:rPr>
        <w:t xml:space="preserve"> </w:t>
      </w:r>
    </w:p>
    <w:p w14:paraId="6C7755A4" w14:textId="77777777" w:rsidR="00143329" w:rsidRPr="00996F05" w:rsidRDefault="00143329" w:rsidP="00143329">
      <w:pPr>
        <w:pStyle w:val="Pieddepage"/>
        <w:rPr>
          <w:rFonts w:asciiTheme="minorHAnsi" w:hAnsiTheme="minorHAnsi" w:cstheme="minorHAnsi"/>
          <w:sz w:val="22"/>
          <w:szCs w:val="22"/>
        </w:rPr>
      </w:pPr>
    </w:p>
    <w:p w14:paraId="4757E079" w14:textId="2C87DFCA" w:rsidR="00612C65" w:rsidRDefault="00143329" w:rsidP="008F1C0B">
      <w:pPr>
        <w:jc w:val="both"/>
        <w:rPr>
          <w:rFonts w:asciiTheme="minorHAnsi" w:hAnsiTheme="minorHAnsi" w:cstheme="minorHAnsi"/>
          <w:sz w:val="22"/>
          <w:szCs w:val="22"/>
        </w:rPr>
      </w:pPr>
      <w:r w:rsidRPr="00996F05">
        <w:rPr>
          <w:rFonts w:asciiTheme="minorHAnsi" w:hAnsiTheme="minorHAnsi" w:cstheme="minorHAnsi"/>
          <w:sz w:val="22"/>
          <w:szCs w:val="22"/>
        </w:rPr>
        <w:t xml:space="preserve">En troisième lieu, l’ordonnance 2021-174 du 17 février 2021 et l’accord collectif national du 11 juillet 2023 renforcent </w:t>
      </w:r>
      <w:r w:rsidR="00507C74">
        <w:rPr>
          <w:rFonts w:asciiTheme="minorHAnsi" w:hAnsiTheme="minorHAnsi" w:cstheme="minorHAnsi"/>
          <w:sz w:val="22"/>
          <w:szCs w:val="22"/>
        </w:rPr>
        <w:t>la place du</w:t>
      </w:r>
      <w:r w:rsidRPr="00996F05">
        <w:rPr>
          <w:rFonts w:asciiTheme="minorHAnsi" w:hAnsiTheme="minorHAnsi" w:cstheme="minorHAnsi"/>
          <w:sz w:val="22"/>
          <w:szCs w:val="22"/>
        </w:rPr>
        <w:t xml:space="preserve"> dialogue social</w:t>
      </w:r>
      <w:r w:rsidR="00507C74">
        <w:rPr>
          <w:rFonts w:asciiTheme="minorHAnsi" w:hAnsiTheme="minorHAnsi" w:cstheme="minorHAnsi"/>
          <w:sz w:val="22"/>
          <w:szCs w:val="22"/>
        </w:rPr>
        <w:t xml:space="preserve"> en matière de dispositif de Protection Sociale Complémentaire</w:t>
      </w:r>
      <w:r w:rsidRPr="00996F05">
        <w:rPr>
          <w:rFonts w:asciiTheme="minorHAnsi" w:hAnsiTheme="minorHAnsi" w:cstheme="minorHAnsi"/>
          <w:sz w:val="22"/>
          <w:szCs w:val="22"/>
        </w:rPr>
        <w:t>, en instituant la mise en œuvre d’un comité paritaire de pilotage et de suivi pour chaque accord collectif conclu.</w:t>
      </w:r>
    </w:p>
    <w:p w14:paraId="31F1E945" w14:textId="77777777" w:rsidR="00143329" w:rsidRPr="00996F05" w:rsidRDefault="00143329" w:rsidP="00143329">
      <w:pPr>
        <w:pStyle w:val="Pieddepage"/>
        <w:jc w:val="both"/>
        <w:rPr>
          <w:rFonts w:asciiTheme="minorHAnsi" w:hAnsiTheme="minorHAnsi" w:cstheme="minorHAnsi"/>
          <w:sz w:val="22"/>
          <w:szCs w:val="22"/>
        </w:rPr>
      </w:pPr>
    </w:p>
    <w:p w14:paraId="288EC233" w14:textId="77777777"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Les dispositions de cet accord collectif national doivent faire l’objet dans les mois à venir de transpositions législatives et réglementaires.</w:t>
      </w:r>
    </w:p>
    <w:p w14:paraId="07BCF8F8" w14:textId="77777777" w:rsidR="00143329" w:rsidRPr="00996F05" w:rsidRDefault="00143329" w:rsidP="00143329">
      <w:pPr>
        <w:jc w:val="both"/>
        <w:rPr>
          <w:rFonts w:asciiTheme="minorHAnsi" w:hAnsiTheme="minorHAnsi" w:cstheme="minorHAnsi"/>
          <w:sz w:val="22"/>
          <w:szCs w:val="22"/>
        </w:rPr>
      </w:pPr>
    </w:p>
    <w:p w14:paraId="77A7FEC8" w14:textId="77777777" w:rsidR="00143329" w:rsidRPr="00996F05" w:rsidRDefault="00143329" w:rsidP="00143329">
      <w:pPr>
        <w:pStyle w:val="NormalWeb"/>
        <w:shd w:val="clear" w:color="auto" w:fill="FFFFFF"/>
        <w:spacing w:before="0" w:after="0" w:line="240" w:lineRule="auto"/>
        <w:jc w:val="both"/>
        <w:rPr>
          <w:rFonts w:asciiTheme="minorHAnsi" w:hAnsiTheme="minorHAnsi" w:cstheme="minorHAnsi"/>
          <w:sz w:val="22"/>
          <w:szCs w:val="22"/>
          <w:lang w:eastAsia="en-US"/>
        </w:rPr>
      </w:pPr>
      <w:r w:rsidRPr="00996F05">
        <w:rPr>
          <w:rFonts w:asciiTheme="minorHAnsi" w:hAnsiTheme="minorHAnsi" w:cstheme="minorHAnsi"/>
          <w:sz w:val="22"/>
          <w:szCs w:val="22"/>
          <w:lang w:eastAsia="en-US"/>
        </w:rPr>
        <w:t>L’ordonnance n°2021-175 du 17 février 2021 a également confirmé le rôle d’expertise des Centres de Gestion qui ont désormais l’obligation de conclure, pour le compte des collectivités territoriales et des établissements publics de leur ressort, des conventions de participation en matière de Santé et de Prévoyance.</w:t>
      </w:r>
    </w:p>
    <w:p w14:paraId="02E643CF" w14:textId="77777777" w:rsidR="00143329" w:rsidRPr="00996F05" w:rsidRDefault="00143329" w:rsidP="00143329">
      <w:pPr>
        <w:jc w:val="both"/>
        <w:rPr>
          <w:rFonts w:asciiTheme="minorHAnsi" w:hAnsiTheme="minorHAnsi" w:cstheme="minorHAnsi"/>
          <w:sz w:val="22"/>
          <w:szCs w:val="22"/>
        </w:rPr>
      </w:pPr>
    </w:p>
    <w:p w14:paraId="56C40722" w14:textId="1706DE9D"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 xml:space="preserve">Les enjeux sont multiples : santé au travail, </w:t>
      </w:r>
      <w:r w:rsidR="006E68E9">
        <w:rPr>
          <w:rFonts w:asciiTheme="minorHAnsi" w:hAnsiTheme="minorHAnsi" w:cstheme="minorHAnsi"/>
          <w:sz w:val="22"/>
          <w:szCs w:val="22"/>
        </w:rPr>
        <w:t xml:space="preserve">maintien d’un niveau vie décent aux agents en situation d’arrêt de travail, </w:t>
      </w:r>
      <w:r w:rsidRPr="00996F05">
        <w:rPr>
          <w:rFonts w:asciiTheme="minorHAnsi" w:hAnsiTheme="minorHAnsi" w:cstheme="minorHAnsi"/>
          <w:sz w:val="22"/>
          <w:szCs w:val="22"/>
        </w:rPr>
        <w:t>attractivité du secteur public, équilibre financier, dialogue social. Le domaine expert qu’est celui de l’assurance des collectivités et de leurs établissements publics en accroit la complexité.</w:t>
      </w:r>
    </w:p>
    <w:p w14:paraId="39528044" w14:textId="77777777" w:rsidR="00143329" w:rsidRPr="00996F05" w:rsidRDefault="00143329" w:rsidP="00143329">
      <w:pPr>
        <w:jc w:val="both"/>
        <w:rPr>
          <w:rFonts w:asciiTheme="minorHAnsi" w:hAnsiTheme="minorHAnsi" w:cstheme="minorHAnsi"/>
          <w:sz w:val="22"/>
          <w:szCs w:val="22"/>
        </w:rPr>
      </w:pPr>
    </w:p>
    <w:p w14:paraId="2D0F842D" w14:textId="32A65F2B"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Afin de répondre à l’ensemble de ces enjeux, les cinq centres de gestion des Pays de la Loire ont décidé de placer cette question au cœur du schéma régional de coo</w:t>
      </w:r>
      <w:r w:rsidR="005F590D">
        <w:rPr>
          <w:rFonts w:asciiTheme="minorHAnsi" w:hAnsiTheme="minorHAnsi" w:cstheme="minorHAnsi"/>
          <w:sz w:val="22"/>
          <w:szCs w:val="22"/>
        </w:rPr>
        <w:t>rdina</w:t>
      </w:r>
      <w:r w:rsidRPr="00996F05">
        <w:rPr>
          <w:rFonts w:asciiTheme="minorHAnsi" w:hAnsiTheme="minorHAnsi" w:cstheme="minorHAnsi"/>
          <w:sz w:val="22"/>
          <w:szCs w:val="22"/>
        </w:rPr>
        <w:t xml:space="preserve">tion, </w:t>
      </w:r>
      <w:r w:rsidR="005F590D">
        <w:rPr>
          <w:rFonts w:asciiTheme="minorHAnsi" w:hAnsiTheme="minorHAnsi" w:cstheme="minorHAnsi"/>
          <w:sz w:val="22"/>
          <w:szCs w:val="22"/>
        </w:rPr>
        <w:t xml:space="preserve">de </w:t>
      </w:r>
      <w:r w:rsidRPr="00996F05">
        <w:rPr>
          <w:rFonts w:asciiTheme="minorHAnsi" w:hAnsiTheme="minorHAnsi" w:cstheme="minorHAnsi"/>
          <w:sz w:val="22"/>
          <w:szCs w:val="22"/>
        </w:rPr>
        <w:t xml:space="preserve">mutualisation et </w:t>
      </w:r>
      <w:r w:rsidR="005F590D">
        <w:rPr>
          <w:rFonts w:asciiTheme="minorHAnsi" w:hAnsiTheme="minorHAnsi" w:cstheme="minorHAnsi"/>
          <w:sz w:val="22"/>
          <w:szCs w:val="22"/>
        </w:rPr>
        <w:t xml:space="preserve">de </w:t>
      </w:r>
      <w:bookmarkStart w:id="0" w:name="_GoBack"/>
      <w:bookmarkEnd w:id="0"/>
      <w:r w:rsidRPr="00996F05">
        <w:rPr>
          <w:rFonts w:asciiTheme="minorHAnsi" w:hAnsiTheme="minorHAnsi" w:cstheme="minorHAnsi"/>
          <w:sz w:val="22"/>
          <w:szCs w:val="22"/>
        </w:rPr>
        <w:t>spécialisation et de construire ensemble un cadre de mise en œuvre collectif et sécurisé.</w:t>
      </w:r>
    </w:p>
    <w:p w14:paraId="474E7329" w14:textId="77777777" w:rsidR="00143329" w:rsidRPr="00996F05" w:rsidRDefault="00143329" w:rsidP="00143329">
      <w:pPr>
        <w:jc w:val="both"/>
        <w:rPr>
          <w:rFonts w:asciiTheme="minorHAnsi" w:eastAsiaTheme="minorHAnsi" w:hAnsiTheme="minorHAnsi" w:cstheme="minorHAnsi"/>
          <w:sz w:val="22"/>
          <w:szCs w:val="22"/>
          <w:lang w:eastAsia="en-US"/>
        </w:rPr>
      </w:pPr>
    </w:p>
    <w:p w14:paraId="27A4CA4E" w14:textId="71C839C3"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 xml:space="preserve">Au regard de ce contexte juridique et technique, compte tenu de la complexité et l’expertise imposées par ce type de dossier, après une analyse approfondie menée depuis le mois de juillet 2023, le Centre de gestion de Loire-Atlantique a décidé, avec les 4 autres Centres de Gestion de la région des Pays de la Loire, d’engager un marché régional afin d’être en mesure de proposer à l’ensemble des employeurs publics de la région </w:t>
      </w:r>
      <w:r w:rsidR="00532A78">
        <w:rPr>
          <w:rFonts w:asciiTheme="minorHAnsi" w:hAnsiTheme="minorHAnsi" w:cstheme="minorHAnsi"/>
          <w:sz w:val="22"/>
          <w:szCs w:val="22"/>
        </w:rPr>
        <w:t xml:space="preserve">et à leurs agents </w:t>
      </w:r>
      <w:r w:rsidRPr="00996F05">
        <w:rPr>
          <w:rFonts w:asciiTheme="minorHAnsi" w:hAnsiTheme="minorHAnsi" w:cstheme="minorHAnsi"/>
          <w:sz w:val="22"/>
          <w:szCs w:val="22"/>
        </w:rPr>
        <w:t xml:space="preserve">une offre </w:t>
      </w:r>
      <w:r w:rsidR="00955083">
        <w:rPr>
          <w:rFonts w:asciiTheme="minorHAnsi" w:hAnsiTheme="minorHAnsi" w:cstheme="minorHAnsi"/>
          <w:sz w:val="22"/>
          <w:szCs w:val="22"/>
        </w:rPr>
        <w:t>performant</w:t>
      </w:r>
      <w:r w:rsidRPr="00996F05">
        <w:rPr>
          <w:rFonts w:asciiTheme="minorHAnsi" w:hAnsiTheme="minorHAnsi" w:cstheme="minorHAnsi"/>
          <w:sz w:val="22"/>
          <w:szCs w:val="22"/>
        </w:rPr>
        <w:t>e et adaptée aux différentes problématiques rencontrées en matière de prévoyance, à compter du 1</w:t>
      </w:r>
      <w:r w:rsidRPr="004234B6">
        <w:rPr>
          <w:rFonts w:asciiTheme="minorHAnsi" w:hAnsiTheme="minorHAnsi" w:cstheme="minorHAnsi"/>
          <w:sz w:val="22"/>
          <w:szCs w:val="22"/>
          <w:vertAlign w:val="superscript"/>
        </w:rPr>
        <w:t>er</w:t>
      </w:r>
      <w:r w:rsidRPr="00996F05">
        <w:rPr>
          <w:rFonts w:asciiTheme="minorHAnsi" w:hAnsiTheme="minorHAnsi" w:cstheme="minorHAnsi"/>
          <w:sz w:val="22"/>
          <w:szCs w:val="22"/>
        </w:rPr>
        <w:t xml:space="preserve"> janvier 2025, puis en santé, à compter du 1</w:t>
      </w:r>
      <w:r w:rsidRPr="00532A78">
        <w:rPr>
          <w:rFonts w:asciiTheme="minorHAnsi" w:hAnsiTheme="minorHAnsi" w:cstheme="minorHAnsi"/>
          <w:sz w:val="22"/>
          <w:szCs w:val="22"/>
          <w:vertAlign w:val="superscript"/>
        </w:rPr>
        <w:t>er</w:t>
      </w:r>
      <w:r w:rsidRPr="00996F05">
        <w:rPr>
          <w:rFonts w:asciiTheme="minorHAnsi" w:hAnsiTheme="minorHAnsi" w:cstheme="minorHAnsi"/>
          <w:sz w:val="22"/>
          <w:szCs w:val="22"/>
        </w:rPr>
        <w:t xml:space="preserve"> janvier 2026. </w:t>
      </w:r>
    </w:p>
    <w:p w14:paraId="77F1E714" w14:textId="77777777" w:rsidR="00143329" w:rsidRPr="00996F05" w:rsidRDefault="00143329" w:rsidP="00143329">
      <w:pPr>
        <w:jc w:val="both"/>
        <w:rPr>
          <w:rFonts w:asciiTheme="minorHAnsi" w:eastAsiaTheme="minorHAnsi" w:hAnsiTheme="minorHAnsi" w:cstheme="minorHAnsi"/>
          <w:sz w:val="22"/>
          <w:szCs w:val="22"/>
          <w:lang w:eastAsia="en-US"/>
        </w:rPr>
      </w:pPr>
    </w:p>
    <w:p w14:paraId="163AD4D1" w14:textId="18433A72" w:rsidR="00143329" w:rsidRPr="00996F05" w:rsidRDefault="00143329" w:rsidP="00143329">
      <w:pPr>
        <w:jc w:val="both"/>
        <w:rPr>
          <w:rFonts w:asciiTheme="minorHAnsi" w:eastAsiaTheme="minorHAnsi" w:hAnsiTheme="minorHAnsi" w:cstheme="minorHAnsi"/>
          <w:sz w:val="22"/>
          <w:szCs w:val="22"/>
          <w:lang w:eastAsia="en-US"/>
        </w:rPr>
      </w:pPr>
      <w:r w:rsidRPr="00996F05">
        <w:rPr>
          <w:rFonts w:asciiTheme="minorHAnsi" w:hAnsiTheme="minorHAnsi" w:cstheme="minorHAnsi"/>
          <w:sz w:val="22"/>
          <w:szCs w:val="22"/>
        </w:rPr>
        <w:t>Dans cette perspective</w:t>
      </w:r>
      <w:r w:rsidRPr="00996F05">
        <w:rPr>
          <w:rFonts w:asciiTheme="minorHAnsi" w:eastAsiaTheme="minorHAnsi" w:hAnsiTheme="minorHAnsi" w:cstheme="minorHAnsi"/>
          <w:sz w:val="22"/>
          <w:szCs w:val="22"/>
          <w:lang w:eastAsia="en-US"/>
        </w:rPr>
        <w:t xml:space="preserve">, le </w:t>
      </w:r>
      <w:r w:rsidRPr="00996F05">
        <w:rPr>
          <w:rFonts w:asciiTheme="minorHAnsi" w:hAnsiTheme="minorHAnsi" w:cstheme="minorHAnsi"/>
          <w:sz w:val="22"/>
          <w:szCs w:val="22"/>
        </w:rPr>
        <w:t xml:space="preserve">Centre de gestion de Loire-Atlantique </w:t>
      </w:r>
      <w:r w:rsidRPr="00996F05">
        <w:rPr>
          <w:rFonts w:asciiTheme="minorHAnsi" w:eastAsiaTheme="minorHAnsi" w:hAnsiTheme="minorHAnsi" w:cstheme="minorHAnsi"/>
          <w:sz w:val="22"/>
          <w:szCs w:val="22"/>
          <w:lang w:eastAsia="en-US"/>
        </w:rPr>
        <w:t xml:space="preserve">et </w:t>
      </w:r>
      <w:r w:rsidRPr="00996F05">
        <w:rPr>
          <w:rFonts w:asciiTheme="minorHAnsi" w:hAnsiTheme="minorHAnsi" w:cstheme="minorHAnsi"/>
          <w:sz w:val="22"/>
          <w:szCs w:val="22"/>
        </w:rPr>
        <w:t>les 4 autres Centres de Gestion de la région des Pays de la Loire</w:t>
      </w:r>
      <w:r w:rsidRPr="00996F05">
        <w:rPr>
          <w:rFonts w:asciiTheme="minorHAnsi" w:eastAsiaTheme="minorHAnsi" w:hAnsiTheme="minorHAnsi" w:cstheme="minorHAnsi"/>
          <w:sz w:val="22"/>
          <w:szCs w:val="22"/>
          <w:lang w:eastAsia="en-US"/>
        </w:rPr>
        <w:t xml:space="preserve"> se sont engagés dans une démarche experte et globale, qui offre aux collectivités </w:t>
      </w:r>
      <w:r w:rsidRPr="00996F05">
        <w:rPr>
          <w:rFonts w:asciiTheme="minorHAnsi" w:hAnsiTheme="minorHAnsi" w:cstheme="minorHAnsi"/>
          <w:sz w:val="22"/>
          <w:szCs w:val="22"/>
        </w:rPr>
        <w:t>territoriales et aux établissements publics</w:t>
      </w:r>
      <w:r w:rsidR="00BF47A8">
        <w:rPr>
          <w:rFonts w:asciiTheme="minorHAnsi" w:hAnsiTheme="minorHAnsi" w:cstheme="minorHAnsi"/>
          <w:sz w:val="22"/>
          <w:szCs w:val="22"/>
        </w:rPr>
        <w:t xml:space="preserve"> </w:t>
      </w:r>
      <w:r w:rsidRPr="00996F05">
        <w:rPr>
          <w:rFonts w:asciiTheme="minorHAnsi" w:hAnsiTheme="minorHAnsi" w:cstheme="minorHAnsi"/>
          <w:sz w:val="22"/>
          <w:szCs w:val="22"/>
        </w:rPr>
        <w:t xml:space="preserve">de leur ressort </w:t>
      </w:r>
      <w:r w:rsidR="00BF47A8">
        <w:rPr>
          <w:rFonts w:asciiTheme="minorHAnsi" w:hAnsiTheme="minorHAnsi" w:cstheme="minorHAnsi"/>
          <w:sz w:val="22"/>
          <w:szCs w:val="22"/>
        </w:rPr>
        <w:t>ainsi qu’à leurs agents</w:t>
      </w:r>
      <w:r w:rsidR="00BF47A8" w:rsidRPr="00996F05">
        <w:rPr>
          <w:rFonts w:asciiTheme="minorHAnsi" w:hAnsiTheme="minorHAnsi" w:cstheme="minorHAnsi"/>
          <w:sz w:val="22"/>
          <w:szCs w:val="22"/>
        </w:rPr>
        <w:t xml:space="preserve"> </w:t>
      </w:r>
      <w:r w:rsidRPr="00996F05">
        <w:rPr>
          <w:rFonts w:asciiTheme="minorHAnsi" w:eastAsiaTheme="minorHAnsi" w:hAnsiTheme="minorHAnsi" w:cstheme="minorHAnsi"/>
          <w:sz w:val="22"/>
          <w:szCs w:val="22"/>
          <w:lang w:eastAsia="en-US"/>
        </w:rPr>
        <w:t>un accompagnement de haut niveau sur tous les aspects juridiques, fiscaux, sociaux et financiers inhérent à la Protection Sociale Complémentaire.</w:t>
      </w:r>
    </w:p>
    <w:p w14:paraId="54DB57AB" w14:textId="77777777" w:rsidR="00397A35" w:rsidRDefault="00397A35" w:rsidP="00143329">
      <w:pPr>
        <w:jc w:val="both"/>
        <w:rPr>
          <w:rFonts w:asciiTheme="minorHAnsi" w:eastAsiaTheme="minorHAnsi" w:hAnsiTheme="minorHAnsi" w:cstheme="minorHAnsi"/>
          <w:sz w:val="22"/>
          <w:szCs w:val="22"/>
          <w:lang w:eastAsia="en-US"/>
        </w:rPr>
      </w:pPr>
    </w:p>
    <w:p w14:paraId="1EA77C9B" w14:textId="1F6C71DC" w:rsidR="005912AB" w:rsidRDefault="005912AB" w:rsidP="00330048">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Dans le cadre de ce projet, et e</w:t>
      </w:r>
      <w:r w:rsidR="0093637E">
        <w:rPr>
          <w:rFonts w:asciiTheme="minorHAnsi" w:eastAsiaTheme="minorHAnsi" w:hAnsiTheme="minorHAnsi" w:cstheme="minorHAnsi"/>
          <w:sz w:val="22"/>
          <w:szCs w:val="22"/>
          <w:lang w:eastAsia="en-US"/>
        </w:rPr>
        <w:t>n vertu des dispositions de</w:t>
      </w:r>
      <w:r w:rsidR="00801970">
        <w:rPr>
          <w:rFonts w:asciiTheme="minorHAnsi" w:eastAsiaTheme="minorHAnsi" w:hAnsiTheme="minorHAnsi" w:cstheme="minorHAnsi"/>
          <w:sz w:val="22"/>
          <w:szCs w:val="22"/>
          <w:lang w:eastAsia="en-US"/>
        </w:rPr>
        <w:t>s</w:t>
      </w:r>
      <w:r w:rsidR="0093637E">
        <w:rPr>
          <w:rFonts w:asciiTheme="minorHAnsi" w:eastAsiaTheme="minorHAnsi" w:hAnsiTheme="minorHAnsi" w:cstheme="minorHAnsi"/>
          <w:sz w:val="22"/>
          <w:szCs w:val="22"/>
          <w:lang w:eastAsia="en-US"/>
        </w:rPr>
        <w:t xml:space="preserve"> article</w:t>
      </w:r>
      <w:r w:rsidR="00801970">
        <w:rPr>
          <w:rFonts w:asciiTheme="minorHAnsi" w:eastAsiaTheme="minorHAnsi" w:hAnsiTheme="minorHAnsi" w:cstheme="minorHAnsi"/>
          <w:sz w:val="22"/>
          <w:szCs w:val="22"/>
          <w:lang w:eastAsia="en-US"/>
        </w:rPr>
        <w:t xml:space="preserve">s 3.2 et 3.3 de l’accord collectif national du 11 juillet 2023, </w:t>
      </w:r>
      <w:r w:rsidR="00330048">
        <w:rPr>
          <w:rFonts w:asciiTheme="minorHAnsi" w:eastAsiaTheme="minorHAnsi" w:hAnsiTheme="minorHAnsi" w:cstheme="minorHAnsi"/>
          <w:sz w:val="22"/>
          <w:szCs w:val="22"/>
          <w:lang w:eastAsia="en-US"/>
        </w:rPr>
        <w:t xml:space="preserve">il est prévu </w:t>
      </w:r>
      <w:r>
        <w:rPr>
          <w:rFonts w:asciiTheme="minorHAnsi" w:eastAsiaTheme="minorHAnsi" w:hAnsiTheme="minorHAnsi" w:cstheme="minorHAnsi"/>
          <w:sz w:val="22"/>
          <w:szCs w:val="22"/>
          <w:lang w:eastAsia="en-US"/>
        </w:rPr>
        <w:t>la mise en place</w:t>
      </w:r>
      <w:r w:rsidR="00330048">
        <w:rPr>
          <w:rFonts w:asciiTheme="minorHAnsi" w:eastAsiaTheme="minorHAnsi" w:hAnsiTheme="minorHAnsi" w:cstheme="minorHAnsi"/>
          <w:sz w:val="22"/>
          <w:szCs w:val="22"/>
          <w:lang w:eastAsia="en-US"/>
        </w:rPr>
        <w:t xml:space="preserve"> d’un comité paritaire de pilotage et de suivi </w:t>
      </w:r>
      <w:r>
        <w:rPr>
          <w:rFonts w:asciiTheme="minorHAnsi" w:eastAsiaTheme="minorHAnsi" w:hAnsiTheme="minorHAnsi" w:cstheme="minorHAnsi"/>
          <w:sz w:val="22"/>
          <w:szCs w:val="22"/>
          <w:lang w:eastAsia="en-US"/>
        </w:rPr>
        <w:t xml:space="preserve">au niveau régional </w:t>
      </w:r>
      <w:r w:rsidR="00CB2705" w:rsidRPr="009348BF">
        <w:rPr>
          <w:rFonts w:asciiTheme="minorHAnsi" w:eastAsiaTheme="minorHAnsi" w:hAnsiTheme="minorHAnsi" w:cstheme="minorHAnsi"/>
          <w:sz w:val="22"/>
          <w:szCs w:val="22"/>
          <w:lang w:eastAsia="en-US"/>
        </w:rPr>
        <w:t>en vue de la signature d’un accord collectif</w:t>
      </w:r>
      <w:r w:rsidR="00CB2705">
        <w:rPr>
          <w:rFonts w:asciiTheme="minorHAnsi" w:eastAsiaTheme="minorHAnsi" w:hAnsiTheme="minorHAnsi" w:cstheme="minorHAnsi"/>
          <w:sz w:val="22"/>
          <w:szCs w:val="22"/>
          <w:lang w:eastAsia="en-US"/>
        </w:rPr>
        <w:t xml:space="preserve"> régional.</w:t>
      </w:r>
    </w:p>
    <w:p w14:paraId="6CAC4A9C" w14:textId="77777777" w:rsidR="00E56B5C" w:rsidRDefault="00E56B5C" w:rsidP="00330048">
      <w:pPr>
        <w:jc w:val="both"/>
        <w:rPr>
          <w:rFonts w:asciiTheme="minorHAnsi" w:eastAsiaTheme="minorHAnsi" w:hAnsiTheme="minorHAnsi" w:cstheme="minorHAnsi"/>
          <w:sz w:val="22"/>
          <w:szCs w:val="22"/>
          <w:lang w:eastAsia="en-US"/>
        </w:rPr>
      </w:pPr>
    </w:p>
    <w:p w14:paraId="53CD6A52" w14:textId="062C5853" w:rsidR="00A87C58" w:rsidRDefault="006814D4" w:rsidP="00A87C58">
      <w:pPr>
        <w:jc w:val="both"/>
        <w:rPr>
          <w:rFonts w:asciiTheme="minorHAnsi" w:eastAsiaTheme="minorHAnsi" w:hAnsiTheme="minorHAnsi" w:cstheme="minorHAnsi"/>
          <w:sz w:val="22"/>
          <w:szCs w:val="22"/>
          <w:lang w:eastAsia="en-US"/>
        </w:rPr>
      </w:pPr>
      <w:r w:rsidRPr="00EF38E0">
        <w:rPr>
          <w:rFonts w:asciiTheme="minorHAnsi" w:eastAsiaTheme="minorHAnsi" w:hAnsiTheme="minorHAnsi" w:cstheme="minorHAnsi"/>
          <w:sz w:val="22"/>
          <w:szCs w:val="22"/>
          <w:lang w:eastAsia="en-US"/>
        </w:rPr>
        <w:t xml:space="preserve">La représentativité de chaque organisation syndicale </w:t>
      </w:r>
      <w:r>
        <w:rPr>
          <w:rFonts w:asciiTheme="minorHAnsi" w:eastAsiaTheme="minorHAnsi" w:hAnsiTheme="minorHAnsi" w:cstheme="minorHAnsi"/>
          <w:sz w:val="22"/>
          <w:szCs w:val="22"/>
          <w:lang w:eastAsia="en-US"/>
        </w:rPr>
        <w:t xml:space="preserve">au sein du comité paritaire de pilotage et de suivi </w:t>
      </w:r>
      <w:r w:rsidR="00A87C58" w:rsidRPr="006139B5">
        <w:rPr>
          <w:rFonts w:asciiTheme="minorHAnsi" w:eastAsiaTheme="minorHAnsi" w:hAnsiTheme="minorHAnsi" w:cstheme="minorHAnsi"/>
          <w:sz w:val="22"/>
          <w:szCs w:val="22"/>
          <w:lang w:eastAsia="en-US"/>
        </w:rPr>
        <w:t>est</w:t>
      </w:r>
      <w:r w:rsidRPr="006139B5">
        <w:rPr>
          <w:rFonts w:asciiTheme="minorHAnsi" w:eastAsiaTheme="minorHAnsi" w:hAnsiTheme="minorHAnsi" w:cstheme="minorHAnsi"/>
          <w:sz w:val="22"/>
          <w:szCs w:val="22"/>
          <w:lang w:eastAsia="en-US"/>
        </w:rPr>
        <w:t xml:space="preserve"> calculée</w:t>
      </w:r>
      <w:r w:rsidRPr="00EF38E0">
        <w:rPr>
          <w:rFonts w:asciiTheme="minorHAnsi" w:eastAsiaTheme="minorHAnsi" w:hAnsiTheme="minorHAnsi" w:cstheme="minorHAnsi"/>
          <w:sz w:val="22"/>
          <w:szCs w:val="22"/>
          <w:lang w:eastAsia="en-US"/>
        </w:rPr>
        <w:t xml:space="preserve"> à l’échelle </w:t>
      </w:r>
      <w:r>
        <w:rPr>
          <w:rFonts w:asciiTheme="minorHAnsi" w:eastAsiaTheme="minorHAnsi" w:hAnsiTheme="minorHAnsi" w:cstheme="minorHAnsi"/>
          <w:sz w:val="22"/>
          <w:szCs w:val="22"/>
          <w:lang w:eastAsia="en-US"/>
        </w:rPr>
        <w:t>régionale</w:t>
      </w:r>
      <w:r w:rsidRPr="00EF38E0">
        <w:rPr>
          <w:rFonts w:asciiTheme="minorHAnsi" w:eastAsiaTheme="minorHAnsi" w:hAnsiTheme="minorHAnsi" w:cstheme="minorHAnsi"/>
          <w:sz w:val="22"/>
          <w:szCs w:val="22"/>
          <w:lang w:eastAsia="en-US"/>
        </w:rPr>
        <w:t xml:space="preserve"> en fonction des résultats</w:t>
      </w:r>
      <w:r>
        <w:rPr>
          <w:rFonts w:asciiTheme="minorHAnsi" w:eastAsiaTheme="minorHAnsi" w:hAnsiTheme="minorHAnsi" w:cstheme="minorHAnsi"/>
          <w:sz w:val="22"/>
          <w:szCs w:val="22"/>
          <w:lang w:eastAsia="en-US"/>
        </w:rPr>
        <w:t xml:space="preserve"> </w:t>
      </w:r>
      <w:r w:rsidRPr="00EF38E0">
        <w:rPr>
          <w:rFonts w:asciiTheme="minorHAnsi" w:eastAsiaTheme="minorHAnsi" w:hAnsiTheme="minorHAnsi" w:cstheme="minorHAnsi"/>
          <w:sz w:val="22"/>
          <w:szCs w:val="22"/>
          <w:lang w:eastAsia="en-US"/>
        </w:rPr>
        <w:t>obtenus lors des élections professionnelles</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lastRenderedPageBreak/>
        <w:t>sur la base d</w:t>
      </w:r>
      <w:r w:rsidRPr="00EF38E0">
        <w:rPr>
          <w:rFonts w:asciiTheme="minorHAnsi" w:eastAsiaTheme="minorHAnsi" w:hAnsiTheme="minorHAnsi" w:cstheme="minorHAnsi"/>
          <w:sz w:val="22"/>
          <w:szCs w:val="22"/>
          <w:lang w:eastAsia="en-US"/>
        </w:rPr>
        <w:t xml:space="preserve">es chiffres publiés par la </w:t>
      </w:r>
      <w:r w:rsidRPr="006139B5">
        <w:rPr>
          <w:rFonts w:asciiTheme="minorHAnsi" w:eastAsiaTheme="minorHAnsi" w:hAnsiTheme="minorHAnsi" w:cstheme="minorHAnsi"/>
          <w:sz w:val="22"/>
          <w:szCs w:val="22"/>
          <w:lang w:eastAsia="en-US"/>
        </w:rPr>
        <w:t>DGCL.</w:t>
      </w:r>
      <w:r w:rsidR="00A87C58" w:rsidRPr="006139B5">
        <w:rPr>
          <w:rFonts w:asciiTheme="minorHAnsi" w:eastAsiaTheme="minorHAnsi" w:hAnsiTheme="minorHAnsi" w:cstheme="minorHAnsi"/>
          <w:sz w:val="22"/>
          <w:szCs w:val="22"/>
          <w:lang w:eastAsia="en-US"/>
        </w:rPr>
        <w:t xml:space="preserve"> Les organisations syndicales qui siègent dans les CST du périmètre de l’accord à conclure participent à ce comité de pilotage et de suivi paritaire régional.</w:t>
      </w:r>
    </w:p>
    <w:p w14:paraId="0A74AB07" w14:textId="77777777" w:rsidR="00A87C58" w:rsidRDefault="00A87C58" w:rsidP="00A87C58">
      <w:pPr>
        <w:jc w:val="both"/>
        <w:rPr>
          <w:rFonts w:asciiTheme="minorHAnsi" w:eastAsiaTheme="minorHAnsi" w:hAnsiTheme="minorHAnsi" w:cstheme="minorHAnsi"/>
          <w:sz w:val="22"/>
          <w:szCs w:val="22"/>
          <w:lang w:eastAsia="en-US"/>
        </w:rPr>
      </w:pPr>
    </w:p>
    <w:p w14:paraId="3B97F27A" w14:textId="1A11792D" w:rsidR="00700DBB" w:rsidRDefault="00700DBB" w:rsidP="00700DBB">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Le comité paritaire de pilotage et de suivi régional participera </w:t>
      </w:r>
      <w:r w:rsidRPr="009348BF">
        <w:rPr>
          <w:rFonts w:asciiTheme="minorHAnsi" w:eastAsiaTheme="minorHAnsi" w:hAnsiTheme="minorHAnsi" w:cstheme="minorHAnsi"/>
          <w:sz w:val="22"/>
          <w:szCs w:val="22"/>
          <w:lang w:eastAsia="en-US"/>
        </w:rPr>
        <w:t>à la définition du ou des cahiers des charges exprimant les besoins qui seront soumis aux futurs soumissionnaires ainsi qu’à la</w:t>
      </w:r>
      <w:r>
        <w:rPr>
          <w:rFonts w:asciiTheme="minorHAnsi" w:eastAsiaTheme="minorHAnsi" w:hAnsiTheme="minorHAnsi" w:cstheme="minorHAnsi"/>
          <w:sz w:val="22"/>
          <w:szCs w:val="22"/>
          <w:lang w:eastAsia="en-US"/>
        </w:rPr>
        <w:t xml:space="preserve"> </w:t>
      </w:r>
      <w:r w:rsidRPr="009348BF">
        <w:rPr>
          <w:rFonts w:asciiTheme="minorHAnsi" w:eastAsiaTheme="minorHAnsi" w:hAnsiTheme="minorHAnsi" w:cstheme="minorHAnsi"/>
          <w:sz w:val="22"/>
          <w:szCs w:val="22"/>
          <w:lang w:eastAsia="en-US"/>
        </w:rPr>
        <w:t>définition des conditions dans lesquelles l</w:t>
      </w:r>
      <w:r>
        <w:rPr>
          <w:rFonts w:asciiTheme="minorHAnsi" w:eastAsiaTheme="minorHAnsi" w:hAnsiTheme="minorHAnsi" w:cstheme="minorHAnsi"/>
          <w:sz w:val="22"/>
          <w:szCs w:val="22"/>
          <w:lang w:eastAsia="en-US"/>
        </w:rPr>
        <w:t xml:space="preserve">e ou les </w:t>
      </w:r>
      <w:r w:rsidRPr="009348BF">
        <w:rPr>
          <w:rFonts w:asciiTheme="minorHAnsi" w:eastAsiaTheme="minorHAnsi" w:hAnsiTheme="minorHAnsi" w:cstheme="minorHAnsi"/>
          <w:sz w:val="22"/>
          <w:szCs w:val="22"/>
          <w:lang w:eastAsia="en-US"/>
        </w:rPr>
        <w:t>attributaire</w:t>
      </w:r>
      <w:r w:rsidR="00E3369D">
        <w:rPr>
          <w:rFonts w:asciiTheme="minorHAnsi" w:eastAsiaTheme="minorHAnsi" w:hAnsiTheme="minorHAnsi" w:cstheme="minorHAnsi"/>
          <w:sz w:val="22"/>
          <w:szCs w:val="22"/>
          <w:lang w:eastAsia="en-US"/>
        </w:rPr>
        <w:t>(s)</w:t>
      </w:r>
      <w:r w:rsidRPr="009348BF">
        <w:rPr>
          <w:rFonts w:asciiTheme="minorHAnsi" w:eastAsiaTheme="minorHAnsi" w:hAnsiTheme="minorHAnsi" w:cstheme="minorHAnsi"/>
          <w:sz w:val="22"/>
          <w:szCs w:val="22"/>
          <w:lang w:eastAsia="en-US"/>
        </w:rPr>
        <w:t xml:space="preserve"> </w:t>
      </w:r>
      <w:r w:rsidR="00E3369D">
        <w:rPr>
          <w:rFonts w:asciiTheme="minorHAnsi" w:eastAsiaTheme="minorHAnsi" w:hAnsiTheme="minorHAnsi" w:cstheme="minorHAnsi"/>
          <w:sz w:val="22"/>
          <w:szCs w:val="22"/>
          <w:lang w:eastAsia="en-US"/>
        </w:rPr>
        <w:t>des</w:t>
      </w:r>
      <w:r w:rsidRPr="009348BF">
        <w:rPr>
          <w:rFonts w:asciiTheme="minorHAnsi" w:eastAsiaTheme="minorHAnsi" w:hAnsiTheme="minorHAnsi" w:cstheme="minorHAnsi"/>
          <w:sz w:val="22"/>
          <w:szCs w:val="22"/>
          <w:lang w:eastAsia="en-US"/>
        </w:rPr>
        <w:t xml:space="preserve"> contrat</w:t>
      </w:r>
      <w:r w:rsidR="00E3369D">
        <w:rPr>
          <w:rFonts w:asciiTheme="minorHAnsi" w:eastAsiaTheme="minorHAnsi" w:hAnsiTheme="minorHAnsi" w:cstheme="minorHAnsi"/>
          <w:sz w:val="22"/>
          <w:szCs w:val="22"/>
          <w:lang w:eastAsia="en-US"/>
        </w:rPr>
        <w:t>s</w:t>
      </w:r>
      <w:r w:rsidRPr="009348BF">
        <w:rPr>
          <w:rFonts w:asciiTheme="minorHAnsi" w:eastAsiaTheme="minorHAnsi" w:hAnsiTheme="minorHAnsi" w:cstheme="minorHAnsi"/>
          <w:sz w:val="22"/>
          <w:szCs w:val="22"/>
          <w:lang w:eastAsia="en-US"/>
        </w:rPr>
        <w:t xml:space="preserve"> ser</w:t>
      </w:r>
      <w:r w:rsidR="00E3369D">
        <w:rPr>
          <w:rFonts w:asciiTheme="minorHAnsi" w:eastAsiaTheme="minorHAnsi" w:hAnsiTheme="minorHAnsi" w:cstheme="minorHAnsi"/>
          <w:sz w:val="22"/>
          <w:szCs w:val="22"/>
          <w:lang w:eastAsia="en-US"/>
        </w:rPr>
        <w:t>ont</w:t>
      </w:r>
      <w:r w:rsidRPr="009348BF">
        <w:rPr>
          <w:rFonts w:asciiTheme="minorHAnsi" w:eastAsiaTheme="minorHAnsi" w:hAnsiTheme="minorHAnsi" w:cstheme="minorHAnsi"/>
          <w:sz w:val="22"/>
          <w:szCs w:val="22"/>
          <w:lang w:eastAsia="en-US"/>
        </w:rPr>
        <w:t xml:space="preserve"> sélectionné</w:t>
      </w:r>
      <w:r w:rsidR="00E3369D">
        <w:rPr>
          <w:rFonts w:asciiTheme="minorHAnsi" w:eastAsiaTheme="minorHAnsi" w:hAnsiTheme="minorHAnsi" w:cstheme="minorHAnsi"/>
          <w:sz w:val="22"/>
          <w:szCs w:val="22"/>
          <w:lang w:eastAsia="en-US"/>
        </w:rPr>
        <w:t>s</w:t>
      </w:r>
      <w:r w:rsidRPr="009348BF">
        <w:rPr>
          <w:rFonts w:asciiTheme="minorHAnsi" w:eastAsiaTheme="minorHAnsi" w:hAnsiTheme="minorHAnsi" w:cstheme="minorHAnsi"/>
          <w:sz w:val="22"/>
          <w:szCs w:val="22"/>
          <w:lang w:eastAsia="en-US"/>
        </w:rPr>
        <w:t xml:space="preserve"> (notamment les critères de jugement des offres et leur</w:t>
      </w:r>
      <w:r>
        <w:rPr>
          <w:rFonts w:asciiTheme="minorHAnsi" w:eastAsiaTheme="minorHAnsi" w:hAnsiTheme="minorHAnsi" w:cstheme="minorHAnsi"/>
          <w:sz w:val="22"/>
          <w:szCs w:val="22"/>
          <w:lang w:eastAsia="en-US"/>
        </w:rPr>
        <w:t xml:space="preserve"> </w:t>
      </w:r>
      <w:r w:rsidRPr="009348BF">
        <w:rPr>
          <w:rFonts w:asciiTheme="minorHAnsi" w:eastAsiaTheme="minorHAnsi" w:hAnsiTheme="minorHAnsi" w:cstheme="minorHAnsi"/>
          <w:sz w:val="22"/>
          <w:szCs w:val="22"/>
          <w:lang w:eastAsia="en-US"/>
        </w:rPr>
        <w:t>pondération), sans préjudice des compétences des collectivités territoriales, de leurs établissements publics et des Centres de gestion</w:t>
      </w:r>
      <w:r>
        <w:rPr>
          <w:rFonts w:asciiTheme="minorHAnsi" w:eastAsiaTheme="minorHAnsi" w:hAnsiTheme="minorHAnsi" w:cstheme="minorHAnsi"/>
          <w:sz w:val="22"/>
          <w:szCs w:val="22"/>
          <w:lang w:eastAsia="en-US"/>
        </w:rPr>
        <w:t xml:space="preserve"> </w:t>
      </w:r>
      <w:r w:rsidRPr="009348BF">
        <w:rPr>
          <w:rFonts w:asciiTheme="minorHAnsi" w:eastAsiaTheme="minorHAnsi" w:hAnsiTheme="minorHAnsi" w:cstheme="minorHAnsi"/>
          <w:sz w:val="22"/>
          <w:szCs w:val="22"/>
          <w:lang w:eastAsia="en-US"/>
        </w:rPr>
        <w:t>mentionnées aux articles L. 827-1 à L. 827-12 du CGFP.</w:t>
      </w:r>
    </w:p>
    <w:p w14:paraId="5F1E13A9" w14:textId="77777777" w:rsidR="00700DBB" w:rsidRDefault="00700DBB" w:rsidP="00E56B5C">
      <w:pPr>
        <w:suppressAutoHyphens w:val="0"/>
        <w:autoSpaceDE w:val="0"/>
        <w:autoSpaceDN w:val="0"/>
        <w:adjustRightInd w:val="0"/>
        <w:rPr>
          <w:rFonts w:asciiTheme="minorHAnsi" w:eastAsiaTheme="minorHAnsi" w:hAnsiTheme="minorHAnsi" w:cstheme="minorHAnsi"/>
          <w:sz w:val="22"/>
          <w:szCs w:val="22"/>
          <w:lang w:eastAsia="en-US"/>
        </w:rPr>
      </w:pPr>
    </w:p>
    <w:p w14:paraId="1BCF29FA" w14:textId="431A4D97" w:rsidR="0093637E" w:rsidRDefault="00822FC6" w:rsidP="00031871">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Enfin, l</w:t>
      </w:r>
      <w:r w:rsidR="00E3369D">
        <w:rPr>
          <w:rFonts w:asciiTheme="minorHAnsi" w:eastAsiaTheme="minorHAnsi" w:hAnsiTheme="minorHAnsi" w:cstheme="minorHAnsi"/>
          <w:sz w:val="22"/>
          <w:szCs w:val="22"/>
          <w:lang w:eastAsia="en-US"/>
        </w:rPr>
        <w:t xml:space="preserve">e comité paritaire de pilotage et de suivi régional sera également associé au </w:t>
      </w:r>
      <w:r w:rsidR="00E56B5C" w:rsidRPr="009348BF">
        <w:rPr>
          <w:rFonts w:asciiTheme="minorHAnsi" w:eastAsiaTheme="minorHAnsi" w:hAnsiTheme="minorHAnsi" w:cstheme="minorHAnsi"/>
          <w:sz w:val="22"/>
          <w:szCs w:val="22"/>
          <w:lang w:eastAsia="en-US"/>
        </w:rPr>
        <w:t xml:space="preserve">suivi régulier, au travers de points d’étape, </w:t>
      </w:r>
      <w:r w:rsidR="0032630A">
        <w:rPr>
          <w:rFonts w:asciiTheme="minorHAnsi" w:eastAsiaTheme="minorHAnsi" w:hAnsiTheme="minorHAnsi" w:cstheme="minorHAnsi"/>
          <w:sz w:val="22"/>
          <w:szCs w:val="22"/>
          <w:lang w:eastAsia="en-US"/>
        </w:rPr>
        <w:t>d</w:t>
      </w:r>
      <w:r w:rsidR="0032630A" w:rsidRPr="009348BF">
        <w:rPr>
          <w:rFonts w:asciiTheme="minorHAnsi" w:eastAsiaTheme="minorHAnsi" w:hAnsiTheme="minorHAnsi" w:cstheme="minorHAnsi"/>
          <w:sz w:val="22"/>
          <w:szCs w:val="22"/>
          <w:lang w:eastAsia="en-US"/>
        </w:rPr>
        <w:t>es</w:t>
      </w:r>
      <w:r w:rsidR="0032630A">
        <w:rPr>
          <w:rFonts w:asciiTheme="minorHAnsi" w:eastAsiaTheme="minorHAnsi" w:hAnsiTheme="minorHAnsi" w:cstheme="minorHAnsi"/>
          <w:sz w:val="22"/>
          <w:szCs w:val="22"/>
          <w:lang w:eastAsia="en-US"/>
        </w:rPr>
        <w:t xml:space="preserve"> </w:t>
      </w:r>
      <w:r w:rsidR="0032630A" w:rsidRPr="009348BF">
        <w:rPr>
          <w:rFonts w:asciiTheme="minorHAnsi" w:eastAsiaTheme="minorHAnsi" w:hAnsiTheme="minorHAnsi" w:cstheme="minorHAnsi"/>
          <w:sz w:val="22"/>
          <w:szCs w:val="22"/>
          <w:lang w:eastAsia="en-US"/>
        </w:rPr>
        <w:t xml:space="preserve">conditions d’application de l’accord </w:t>
      </w:r>
      <w:r w:rsidR="0032630A">
        <w:rPr>
          <w:rFonts w:asciiTheme="minorHAnsi" w:eastAsiaTheme="minorHAnsi" w:hAnsiTheme="minorHAnsi" w:cstheme="minorHAnsi"/>
          <w:sz w:val="22"/>
          <w:szCs w:val="22"/>
          <w:lang w:eastAsia="en-US"/>
        </w:rPr>
        <w:t xml:space="preserve">et </w:t>
      </w:r>
      <w:r w:rsidR="0032630A" w:rsidRPr="009348BF">
        <w:rPr>
          <w:rFonts w:asciiTheme="minorHAnsi" w:eastAsiaTheme="minorHAnsi" w:hAnsiTheme="minorHAnsi" w:cstheme="minorHAnsi"/>
          <w:sz w:val="22"/>
          <w:szCs w:val="22"/>
          <w:lang w:eastAsia="en-US"/>
        </w:rPr>
        <w:t>du</w:t>
      </w:r>
      <w:r w:rsidR="0032630A">
        <w:rPr>
          <w:rFonts w:asciiTheme="minorHAnsi" w:eastAsiaTheme="minorHAnsi" w:hAnsiTheme="minorHAnsi" w:cstheme="minorHAnsi"/>
          <w:sz w:val="22"/>
          <w:szCs w:val="22"/>
          <w:lang w:eastAsia="en-US"/>
        </w:rPr>
        <w:t xml:space="preserve"> </w:t>
      </w:r>
      <w:r w:rsidR="0032630A" w:rsidRPr="009348BF">
        <w:rPr>
          <w:rFonts w:asciiTheme="minorHAnsi" w:eastAsiaTheme="minorHAnsi" w:hAnsiTheme="minorHAnsi" w:cstheme="minorHAnsi"/>
          <w:sz w:val="22"/>
          <w:szCs w:val="22"/>
          <w:lang w:eastAsia="en-US"/>
        </w:rPr>
        <w:t xml:space="preserve">ou des contrats </w:t>
      </w:r>
      <w:r w:rsidR="0032630A">
        <w:rPr>
          <w:rFonts w:asciiTheme="minorHAnsi" w:eastAsiaTheme="minorHAnsi" w:hAnsiTheme="minorHAnsi" w:cstheme="minorHAnsi"/>
          <w:sz w:val="22"/>
          <w:szCs w:val="22"/>
          <w:lang w:eastAsia="en-US"/>
        </w:rPr>
        <w:t xml:space="preserve">collectifs de prévoyance </w:t>
      </w:r>
      <w:r w:rsidR="0032630A" w:rsidRPr="009348BF">
        <w:rPr>
          <w:rFonts w:asciiTheme="minorHAnsi" w:eastAsiaTheme="minorHAnsi" w:hAnsiTheme="minorHAnsi" w:cstheme="minorHAnsi"/>
          <w:sz w:val="22"/>
          <w:szCs w:val="22"/>
          <w:lang w:eastAsia="en-US"/>
        </w:rPr>
        <w:t>sur l’ensemble de leur durée d’exécution.</w:t>
      </w:r>
      <w:r w:rsidR="0032630A">
        <w:rPr>
          <w:rFonts w:asciiTheme="minorHAnsi" w:eastAsiaTheme="minorHAnsi" w:hAnsiTheme="minorHAnsi" w:cstheme="minorHAnsi"/>
          <w:sz w:val="22"/>
          <w:szCs w:val="22"/>
          <w:lang w:eastAsia="en-US"/>
        </w:rPr>
        <w:t xml:space="preserve"> </w:t>
      </w:r>
      <w:r w:rsidR="003957C0" w:rsidRPr="009348BF">
        <w:rPr>
          <w:rFonts w:asciiTheme="minorHAnsi" w:eastAsiaTheme="minorHAnsi" w:hAnsiTheme="minorHAnsi" w:cstheme="minorHAnsi"/>
          <w:sz w:val="22"/>
          <w:szCs w:val="22"/>
          <w:lang w:eastAsia="en-US"/>
        </w:rPr>
        <w:t xml:space="preserve">A ce titre, </w:t>
      </w:r>
      <w:r w:rsidR="0032630A">
        <w:rPr>
          <w:rFonts w:asciiTheme="minorHAnsi" w:eastAsiaTheme="minorHAnsi" w:hAnsiTheme="minorHAnsi" w:cstheme="minorHAnsi"/>
          <w:sz w:val="22"/>
          <w:szCs w:val="22"/>
          <w:lang w:eastAsia="en-US"/>
        </w:rPr>
        <w:t>les organisations syndicales signataires de l’accord</w:t>
      </w:r>
      <w:r w:rsidR="003957C0" w:rsidRPr="009348BF">
        <w:rPr>
          <w:rFonts w:asciiTheme="minorHAnsi" w:eastAsiaTheme="minorHAnsi" w:hAnsiTheme="minorHAnsi" w:cstheme="minorHAnsi"/>
          <w:sz w:val="22"/>
          <w:szCs w:val="22"/>
          <w:lang w:eastAsia="en-US"/>
        </w:rPr>
        <w:t xml:space="preserve"> seront destinataires de toutes les informations nécessaires à la bonne compréhension de son évolution.</w:t>
      </w:r>
    </w:p>
    <w:p w14:paraId="129A4C58" w14:textId="77777777" w:rsidR="0093637E" w:rsidRPr="00996F05" w:rsidRDefault="0093637E" w:rsidP="00143329">
      <w:pPr>
        <w:jc w:val="both"/>
        <w:rPr>
          <w:rFonts w:asciiTheme="minorHAnsi" w:eastAsiaTheme="minorHAnsi" w:hAnsiTheme="minorHAnsi" w:cstheme="minorHAnsi"/>
          <w:sz w:val="22"/>
          <w:szCs w:val="22"/>
          <w:lang w:eastAsia="en-US"/>
        </w:rPr>
      </w:pPr>
    </w:p>
    <w:p w14:paraId="133BB2B2" w14:textId="31A4D26E" w:rsidR="00143329" w:rsidRPr="00996F05" w:rsidRDefault="008D31E3" w:rsidP="00143329">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w:t>
      </w:r>
      <w:r w:rsidR="00143329" w:rsidRPr="00996F05">
        <w:rPr>
          <w:rFonts w:asciiTheme="minorHAnsi" w:eastAsiaTheme="minorHAnsi" w:hAnsiTheme="minorHAnsi" w:cstheme="minorHAnsi"/>
          <w:sz w:val="22"/>
          <w:szCs w:val="22"/>
          <w:lang w:eastAsia="en-US"/>
        </w:rPr>
        <w:t xml:space="preserve">e </w:t>
      </w:r>
      <w:r w:rsidR="00143329" w:rsidRPr="00996F05">
        <w:rPr>
          <w:rFonts w:asciiTheme="minorHAnsi" w:hAnsiTheme="minorHAnsi" w:cstheme="minorHAnsi"/>
          <w:sz w:val="22"/>
          <w:szCs w:val="22"/>
        </w:rPr>
        <w:t xml:space="preserve">Centre de gestion de Loire-Atlantique </w:t>
      </w:r>
      <w:r w:rsidR="00143329" w:rsidRPr="00996F05">
        <w:rPr>
          <w:rFonts w:asciiTheme="minorHAnsi" w:eastAsiaTheme="minorHAnsi" w:hAnsiTheme="minorHAnsi" w:cstheme="minorHAnsi"/>
          <w:sz w:val="22"/>
          <w:szCs w:val="22"/>
          <w:lang w:eastAsia="en-US"/>
        </w:rPr>
        <w:t xml:space="preserve">et </w:t>
      </w:r>
      <w:r w:rsidR="00143329" w:rsidRPr="00996F05">
        <w:rPr>
          <w:rFonts w:asciiTheme="minorHAnsi" w:hAnsiTheme="minorHAnsi" w:cstheme="minorHAnsi"/>
          <w:sz w:val="22"/>
          <w:szCs w:val="22"/>
        </w:rPr>
        <w:t>les 4 autres Centres de Gestion de la région des Pays de la Loire</w:t>
      </w:r>
      <w:r w:rsidR="00143329" w:rsidRPr="00996F05">
        <w:rPr>
          <w:rFonts w:asciiTheme="minorHAnsi" w:eastAsiaTheme="minorHAnsi" w:hAnsiTheme="minorHAnsi" w:cstheme="minorHAnsi"/>
          <w:sz w:val="22"/>
          <w:szCs w:val="22"/>
          <w:lang w:eastAsia="en-US"/>
        </w:rPr>
        <w:t xml:space="preserve"> piloteront l’ensemble du processus, tant pour ce qui concerne le dialogue social et l’animation de l’instance </w:t>
      </w:r>
      <w:r w:rsidR="00143329" w:rsidRPr="00996F05">
        <w:rPr>
          <w:rFonts w:asciiTheme="minorHAnsi" w:hAnsiTheme="minorHAnsi" w:cstheme="minorHAnsi"/>
          <w:sz w:val="22"/>
          <w:szCs w:val="22"/>
        </w:rPr>
        <w:t xml:space="preserve">paritaire </w:t>
      </w:r>
      <w:r w:rsidR="00143329" w:rsidRPr="00996F05">
        <w:rPr>
          <w:rFonts w:asciiTheme="minorHAnsi" w:eastAsiaTheme="minorHAnsi" w:hAnsiTheme="minorHAnsi" w:cstheme="minorHAnsi"/>
          <w:sz w:val="22"/>
          <w:szCs w:val="22"/>
          <w:lang w:eastAsia="en-US"/>
        </w:rPr>
        <w:t>régional</w:t>
      </w:r>
      <w:r w:rsidR="00143329" w:rsidRPr="00996F05">
        <w:rPr>
          <w:rFonts w:asciiTheme="minorHAnsi" w:hAnsiTheme="minorHAnsi" w:cstheme="minorHAnsi"/>
          <w:sz w:val="22"/>
          <w:szCs w:val="22"/>
        </w:rPr>
        <w:t>e</w:t>
      </w:r>
      <w:r w:rsidR="00143329" w:rsidRPr="00996F05">
        <w:rPr>
          <w:rFonts w:asciiTheme="minorHAnsi" w:eastAsiaTheme="minorHAnsi" w:hAnsiTheme="minorHAnsi" w:cstheme="minorHAnsi"/>
          <w:sz w:val="22"/>
          <w:szCs w:val="22"/>
          <w:lang w:eastAsia="en-US"/>
        </w:rPr>
        <w:t xml:space="preserve">, que la définition des garanties, la rédaction du cahier des charges, la conduite des négociations avec les assureurs, l’analyse des offres, la rédaction des projets d’accords collectifs, la mise en place de la gestion des prestations et le suivi et le pilotage des contrats dans le temps, au bénéfice des collectivités </w:t>
      </w:r>
      <w:r w:rsidR="00143329" w:rsidRPr="00996F05">
        <w:rPr>
          <w:rFonts w:asciiTheme="minorHAnsi" w:hAnsiTheme="minorHAnsi" w:cstheme="minorHAnsi"/>
          <w:sz w:val="22"/>
          <w:szCs w:val="22"/>
        </w:rPr>
        <w:t>territoriales et de leurs établissements publics locaux, ainsi que</w:t>
      </w:r>
      <w:r w:rsidR="00143329" w:rsidRPr="00996F05">
        <w:rPr>
          <w:rFonts w:asciiTheme="minorHAnsi" w:eastAsiaTheme="minorHAnsi" w:hAnsiTheme="minorHAnsi" w:cstheme="minorHAnsi"/>
          <w:sz w:val="22"/>
          <w:szCs w:val="22"/>
          <w:lang w:eastAsia="en-US"/>
        </w:rPr>
        <w:t xml:space="preserve"> des agents assurés.</w:t>
      </w:r>
    </w:p>
    <w:p w14:paraId="74430557" w14:textId="77777777" w:rsidR="00143329" w:rsidRPr="00996F05" w:rsidRDefault="00143329" w:rsidP="00143329">
      <w:pPr>
        <w:jc w:val="both"/>
        <w:rPr>
          <w:rFonts w:asciiTheme="minorHAnsi" w:eastAsiaTheme="minorHAnsi" w:hAnsiTheme="minorHAnsi" w:cstheme="minorHAnsi"/>
          <w:sz w:val="22"/>
          <w:szCs w:val="22"/>
          <w:lang w:eastAsia="en-US"/>
        </w:rPr>
      </w:pPr>
    </w:p>
    <w:p w14:paraId="4A30E107" w14:textId="77777777" w:rsidR="00143329" w:rsidRPr="00996F05" w:rsidRDefault="00143329" w:rsidP="00143329">
      <w:pPr>
        <w:jc w:val="both"/>
        <w:rPr>
          <w:rFonts w:asciiTheme="minorHAnsi" w:eastAsiaTheme="minorHAnsi" w:hAnsiTheme="minorHAnsi" w:cstheme="minorHAnsi"/>
          <w:sz w:val="22"/>
          <w:szCs w:val="22"/>
          <w:lang w:eastAsia="en-US"/>
        </w:rPr>
      </w:pPr>
      <w:r w:rsidRPr="00996F05">
        <w:rPr>
          <w:rFonts w:asciiTheme="minorHAnsi" w:hAnsiTheme="minorHAnsi" w:cstheme="minorHAnsi"/>
          <w:sz w:val="22"/>
          <w:szCs w:val="22"/>
        </w:rPr>
        <w:t>L</w:t>
      </w:r>
      <w:r w:rsidRPr="00996F05">
        <w:rPr>
          <w:rFonts w:asciiTheme="minorHAnsi" w:eastAsiaTheme="minorHAnsi" w:hAnsiTheme="minorHAnsi" w:cstheme="minorHAnsi"/>
          <w:sz w:val="22"/>
          <w:szCs w:val="22"/>
          <w:lang w:eastAsia="en-US"/>
        </w:rPr>
        <w:t>a mutualisation des risques sur un large périmètre permettra de renforcer l’attractivité auprès des organismes d’assurances, mais également de mieux piloter les risques, et par là-même de maîtriser les évolutions tarifaires dans le temps.</w:t>
      </w:r>
    </w:p>
    <w:p w14:paraId="50359E23" w14:textId="77777777" w:rsidR="00143329" w:rsidRPr="00996F05" w:rsidRDefault="00143329" w:rsidP="00143329">
      <w:pPr>
        <w:jc w:val="both"/>
        <w:rPr>
          <w:rFonts w:asciiTheme="minorHAnsi" w:eastAsiaTheme="minorHAnsi" w:hAnsiTheme="minorHAnsi" w:cstheme="minorHAnsi"/>
          <w:sz w:val="22"/>
          <w:szCs w:val="22"/>
          <w:lang w:eastAsia="en-US"/>
        </w:rPr>
      </w:pPr>
    </w:p>
    <w:p w14:paraId="34008154" w14:textId="77777777" w:rsidR="00143329" w:rsidRPr="00996F05" w:rsidRDefault="00143329" w:rsidP="00143329">
      <w:pPr>
        <w:jc w:val="both"/>
        <w:rPr>
          <w:rFonts w:asciiTheme="minorHAnsi" w:hAnsiTheme="minorHAnsi" w:cstheme="minorHAnsi"/>
          <w:sz w:val="22"/>
          <w:szCs w:val="22"/>
        </w:rPr>
      </w:pPr>
      <w:r w:rsidRPr="00996F05">
        <w:rPr>
          <w:rFonts w:asciiTheme="minorHAnsi" w:eastAsiaTheme="minorHAnsi" w:hAnsiTheme="minorHAnsi" w:cstheme="minorHAnsi"/>
          <w:sz w:val="22"/>
          <w:szCs w:val="22"/>
          <w:lang w:eastAsia="en-US"/>
        </w:rPr>
        <w:t xml:space="preserve">Enfin, le </w:t>
      </w:r>
      <w:r w:rsidRPr="00996F05">
        <w:rPr>
          <w:rFonts w:asciiTheme="minorHAnsi" w:hAnsiTheme="minorHAnsi" w:cstheme="minorHAnsi"/>
          <w:sz w:val="22"/>
          <w:szCs w:val="22"/>
        </w:rPr>
        <w:t xml:space="preserve">Centre de gestion de Loire-Atlantique </w:t>
      </w:r>
      <w:r w:rsidRPr="00996F05">
        <w:rPr>
          <w:rFonts w:asciiTheme="minorHAnsi" w:eastAsiaTheme="minorHAnsi" w:hAnsiTheme="minorHAnsi" w:cstheme="minorHAnsi"/>
          <w:sz w:val="22"/>
          <w:szCs w:val="22"/>
          <w:lang w:eastAsia="en-US"/>
        </w:rPr>
        <w:t xml:space="preserve">et </w:t>
      </w:r>
      <w:r w:rsidRPr="00996F05">
        <w:rPr>
          <w:rFonts w:asciiTheme="minorHAnsi" w:hAnsiTheme="minorHAnsi" w:cstheme="minorHAnsi"/>
          <w:sz w:val="22"/>
          <w:szCs w:val="22"/>
        </w:rPr>
        <w:t>les 4 autres Centres de Gestion de la région des Pays de la Loire</w:t>
      </w:r>
      <w:r w:rsidRPr="00996F05">
        <w:rPr>
          <w:rFonts w:asciiTheme="minorHAnsi" w:eastAsiaTheme="minorHAnsi" w:hAnsiTheme="minorHAnsi" w:cstheme="minorHAnsi"/>
          <w:sz w:val="22"/>
          <w:szCs w:val="22"/>
          <w:lang w:eastAsia="en-US"/>
        </w:rPr>
        <w:t xml:space="preserve"> sont parmi les tous premiers centres de gestion à initier cette démarche, ce qui constitue un gage de compétitivité pour les collectivités</w:t>
      </w:r>
      <w:r w:rsidRPr="00996F05">
        <w:rPr>
          <w:rFonts w:asciiTheme="minorHAnsi" w:hAnsiTheme="minorHAnsi" w:cstheme="minorHAnsi"/>
          <w:sz w:val="22"/>
          <w:szCs w:val="22"/>
        </w:rPr>
        <w:t xml:space="preserve"> territoriales et établissements publics</w:t>
      </w:r>
      <w:r w:rsidRPr="00996F05">
        <w:rPr>
          <w:rFonts w:asciiTheme="minorHAnsi" w:eastAsiaTheme="minorHAnsi" w:hAnsiTheme="minorHAnsi" w:cstheme="minorHAnsi"/>
          <w:sz w:val="22"/>
          <w:szCs w:val="22"/>
          <w:lang w:eastAsia="en-US"/>
        </w:rPr>
        <w:t xml:space="preserve"> qui adhèreront à la consultation</w:t>
      </w:r>
      <w:r w:rsidRPr="00996F05">
        <w:rPr>
          <w:rFonts w:asciiTheme="minorHAnsi" w:hAnsiTheme="minorHAnsi" w:cstheme="minorHAnsi"/>
          <w:sz w:val="22"/>
          <w:szCs w:val="22"/>
        </w:rPr>
        <w:t>.</w:t>
      </w:r>
    </w:p>
    <w:p w14:paraId="126E3A7A" w14:textId="77777777" w:rsidR="00143329" w:rsidRDefault="00143329" w:rsidP="00143329">
      <w:pPr>
        <w:ind w:right="-567"/>
        <w:jc w:val="both"/>
        <w:rPr>
          <w:rFonts w:asciiTheme="minorHAnsi" w:hAnsiTheme="minorHAnsi" w:cstheme="minorHAnsi"/>
          <w:sz w:val="22"/>
          <w:szCs w:val="22"/>
        </w:rPr>
      </w:pPr>
    </w:p>
    <w:p w14:paraId="1924ECDD" w14:textId="235BE7DB" w:rsidR="001E5003" w:rsidRPr="00FF074A" w:rsidRDefault="00A556B6" w:rsidP="00FF074A">
      <w:pPr>
        <w:overflowPunct w:val="0"/>
        <w:contextualSpacing/>
        <w:jc w:val="both"/>
        <w:textAlignment w:val="baseline"/>
        <w:rPr>
          <w:rFonts w:ascii="Verdana" w:hAnsi="Verdana" w:cstheme="minorHAnsi"/>
          <w:b/>
          <w:sz w:val="24"/>
          <w:szCs w:val="28"/>
        </w:rPr>
      </w:pPr>
      <w:r>
        <w:rPr>
          <w:rFonts w:ascii="Verdana" w:hAnsi="Verdana" w:cstheme="minorHAnsi"/>
          <w:b/>
          <w:sz w:val="24"/>
          <w:szCs w:val="28"/>
        </w:rPr>
        <w:t>Présentation du projet</w:t>
      </w:r>
    </w:p>
    <w:p w14:paraId="5CE01A12" w14:textId="77777777" w:rsidR="001E5003" w:rsidRDefault="001E5003" w:rsidP="00143329">
      <w:pPr>
        <w:ind w:right="-567"/>
        <w:jc w:val="both"/>
        <w:rPr>
          <w:rFonts w:asciiTheme="minorHAnsi" w:hAnsiTheme="minorHAnsi" w:cstheme="minorHAnsi"/>
          <w:sz w:val="22"/>
          <w:szCs w:val="22"/>
        </w:rPr>
      </w:pPr>
    </w:p>
    <w:p w14:paraId="4F5A6029" w14:textId="1DE61578" w:rsidR="00EA2B1B" w:rsidRDefault="00CA775F" w:rsidP="00FF074A">
      <w:pPr>
        <w:pStyle w:val="En-tte"/>
        <w:tabs>
          <w:tab w:val="clear" w:pos="4536"/>
          <w:tab w:val="clear" w:pos="9072"/>
        </w:tabs>
        <w:jc w:val="both"/>
        <w:rPr>
          <w:rFonts w:asciiTheme="minorHAnsi" w:hAnsiTheme="minorHAnsi" w:cstheme="minorHAnsi"/>
          <w:sz w:val="22"/>
          <w:szCs w:val="22"/>
        </w:rPr>
      </w:pPr>
      <w:r>
        <w:rPr>
          <w:rFonts w:asciiTheme="minorHAnsi" w:hAnsiTheme="minorHAnsi" w:cstheme="minorHAnsi"/>
          <w:sz w:val="22"/>
          <w:szCs w:val="22"/>
        </w:rPr>
        <w:t>Afin d’assurer une couverture de prévoyance de qualité aux agents à effet du 1</w:t>
      </w:r>
      <w:r w:rsidRPr="00CA775F">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2025, </w:t>
      </w:r>
      <w:r w:rsidRPr="00CA775F">
        <w:rPr>
          <w:rFonts w:asciiTheme="minorHAnsi" w:hAnsiTheme="minorHAnsi" w:cstheme="minorHAnsi"/>
          <w:sz w:val="22"/>
          <w:szCs w:val="22"/>
          <w:highlight w:val="cyan"/>
        </w:rPr>
        <w:t>l</w:t>
      </w:r>
      <w:r w:rsidR="00FF074A" w:rsidRPr="00CA775F">
        <w:rPr>
          <w:rFonts w:asciiTheme="minorHAnsi" w:hAnsiTheme="minorHAnsi" w:cstheme="minorHAnsi"/>
          <w:sz w:val="22"/>
          <w:szCs w:val="22"/>
          <w:highlight w:val="cyan"/>
        </w:rPr>
        <w:t xml:space="preserve">’assemblée/le </w:t>
      </w:r>
      <w:r w:rsidR="00FF074A" w:rsidRPr="0063539D">
        <w:rPr>
          <w:rFonts w:asciiTheme="minorHAnsi" w:hAnsiTheme="minorHAnsi" w:cstheme="minorHAnsi"/>
          <w:sz w:val="22"/>
          <w:szCs w:val="22"/>
          <w:highlight w:val="cyan"/>
        </w:rPr>
        <w:t>conseil</w:t>
      </w:r>
      <w:r w:rsidR="0063539D" w:rsidRPr="0063539D">
        <w:rPr>
          <w:rFonts w:asciiTheme="minorHAnsi" w:hAnsiTheme="minorHAnsi" w:cstheme="minorHAnsi"/>
          <w:sz w:val="22"/>
          <w:szCs w:val="22"/>
          <w:highlight w:val="cyan"/>
        </w:rPr>
        <w:t xml:space="preserve"> municipal/le conseil d’administration</w:t>
      </w:r>
      <w:r w:rsidR="00FF074A" w:rsidRPr="00996F05">
        <w:rPr>
          <w:rFonts w:asciiTheme="minorHAnsi" w:hAnsiTheme="minorHAnsi" w:cstheme="minorHAnsi"/>
          <w:sz w:val="22"/>
          <w:szCs w:val="22"/>
        </w:rPr>
        <w:t xml:space="preserve"> </w:t>
      </w:r>
      <w:r w:rsidRPr="00EA2B1B">
        <w:rPr>
          <w:rFonts w:asciiTheme="minorHAnsi" w:hAnsiTheme="minorHAnsi" w:cstheme="minorHAnsi"/>
          <w:sz w:val="22"/>
          <w:szCs w:val="22"/>
        </w:rPr>
        <w:t>souhaite</w:t>
      </w:r>
      <w:r w:rsidR="00024D4A">
        <w:rPr>
          <w:rFonts w:asciiTheme="minorHAnsi" w:hAnsiTheme="minorHAnsi" w:cstheme="minorHAnsi"/>
          <w:sz w:val="22"/>
          <w:szCs w:val="22"/>
        </w:rPr>
        <w:t xml:space="preserve"> délibérer pour</w:t>
      </w:r>
      <w:r w:rsidRPr="00EA2B1B">
        <w:rPr>
          <w:rFonts w:asciiTheme="minorHAnsi" w:hAnsiTheme="minorHAnsi" w:cstheme="minorHAnsi"/>
          <w:sz w:val="22"/>
          <w:szCs w:val="22"/>
        </w:rPr>
        <w:t xml:space="preserve"> </w:t>
      </w:r>
      <w:r w:rsidR="00EA2B1B" w:rsidRPr="00EA2B1B">
        <w:rPr>
          <w:rFonts w:asciiTheme="minorHAnsi" w:hAnsiTheme="minorHAnsi" w:cstheme="minorHAnsi"/>
          <w:sz w:val="22"/>
          <w:szCs w:val="22"/>
        </w:rPr>
        <w:t>d</w:t>
      </w:r>
      <w:r w:rsidR="00EA2B1B" w:rsidRPr="00EA2B1B">
        <w:rPr>
          <w:rFonts w:asciiTheme="minorHAnsi" w:eastAsiaTheme="minorHAnsi" w:hAnsiTheme="minorHAnsi" w:cstheme="minorHAnsi"/>
          <w:sz w:val="22"/>
          <w:szCs w:val="22"/>
          <w:lang w:eastAsia="en-US"/>
        </w:rPr>
        <w:t>onner mandat au Centre de gestion de Loire-Atlantique</w:t>
      </w:r>
      <w:r w:rsidR="00EA2B1B" w:rsidRPr="00EA2B1B">
        <w:rPr>
          <w:rFonts w:asciiTheme="minorHAnsi" w:hAnsiTheme="minorHAnsi" w:cstheme="minorHAnsi"/>
          <w:sz w:val="22"/>
          <w:szCs w:val="22"/>
        </w:rPr>
        <w:t>,</w:t>
      </w:r>
      <w:r w:rsidR="00EA2B1B" w:rsidRPr="00797966">
        <w:rPr>
          <w:rFonts w:asciiTheme="minorHAnsi" w:hAnsiTheme="minorHAnsi" w:cstheme="minorHAnsi"/>
          <w:sz w:val="22"/>
          <w:szCs w:val="22"/>
        </w:rPr>
        <w:t xml:space="preserve"> coordonnateur du groupement de commandes constitué des 5 Centres de Gestion de la région des Pays de la Loire</w:t>
      </w:r>
      <w:r w:rsidR="00EA2B1B" w:rsidRPr="00797966">
        <w:rPr>
          <w:rFonts w:asciiTheme="minorHAnsi" w:eastAsia="Arial" w:hAnsiTheme="minorHAnsi" w:cstheme="minorHAnsi"/>
          <w:sz w:val="22"/>
          <w:szCs w:val="22"/>
        </w:rPr>
        <w:t xml:space="preserve">, </w:t>
      </w:r>
      <w:r w:rsidR="00EA2B1B" w:rsidRPr="00797966">
        <w:rPr>
          <w:rFonts w:asciiTheme="minorHAnsi" w:eastAsiaTheme="minorHAnsi" w:hAnsiTheme="minorHAnsi" w:cstheme="minorHAnsi"/>
          <w:sz w:val="22"/>
          <w:szCs w:val="22"/>
          <w:lang w:eastAsia="en-US"/>
        </w:rPr>
        <w:t>pour l</w:t>
      </w:r>
      <w:r w:rsidR="00EA2B1B" w:rsidRPr="00797966">
        <w:rPr>
          <w:rFonts w:asciiTheme="minorHAnsi" w:hAnsiTheme="minorHAnsi" w:cstheme="minorHAnsi"/>
          <w:sz w:val="22"/>
          <w:szCs w:val="22"/>
        </w:rPr>
        <w:t>’organisation, l</w:t>
      </w:r>
      <w:r w:rsidR="00EA2B1B" w:rsidRPr="00797966">
        <w:rPr>
          <w:rFonts w:asciiTheme="minorHAnsi" w:eastAsiaTheme="minorHAnsi" w:hAnsiTheme="minorHAnsi" w:cstheme="minorHAnsi"/>
          <w:sz w:val="22"/>
          <w:szCs w:val="22"/>
          <w:lang w:eastAsia="en-US"/>
        </w:rPr>
        <w:t>a conduite</w:t>
      </w:r>
      <w:r w:rsidR="00EA2B1B" w:rsidRPr="00797966">
        <w:rPr>
          <w:rFonts w:asciiTheme="minorHAnsi" w:hAnsiTheme="minorHAnsi" w:cstheme="minorHAnsi"/>
          <w:sz w:val="22"/>
          <w:szCs w:val="22"/>
        </w:rPr>
        <w:t xml:space="preserve"> et l’animation</w:t>
      </w:r>
      <w:r w:rsidR="00EA2B1B" w:rsidRPr="00797966">
        <w:rPr>
          <w:rFonts w:asciiTheme="minorHAnsi" w:eastAsiaTheme="minorHAnsi" w:hAnsiTheme="minorHAnsi" w:cstheme="minorHAnsi"/>
          <w:sz w:val="22"/>
          <w:szCs w:val="22"/>
          <w:lang w:eastAsia="en-US"/>
        </w:rPr>
        <w:t xml:space="preserve"> du dialogue social au niveau régional en vertu des dispositions de l’accord collectif national du 11 juillet 2023 portant réforme de la Protection Sociale Complémentaire dans la Fonction Publique Territoriale</w:t>
      </w:r>
      <w:r w:rsidR="00EA2B1B">
        <w:rPr>
          <w:rFonts w:asciiTheme="minorHAnsi" w:eastAsiaTheme="minorHAnsi" w:hAnsiTheme="minorHAnsi" w:cstheme="minorHAnsi"/>
          <w:sz w:val="22"/>
          <w:szCs w:val="22"/>
          <w:lang w:eastAsia="en-US"/>
        </w:rPr>
        <w:t xml:space="preserve">, ainsi que </w:t>
      </w:r>
      <w:r w:rsidR="00EA2B1B" w:rsidRPr="00797966">
        <w:rPr>
          <w:rFonts w:asciiTheme="minorHAnsi" w:eastAsiaTheme="minorHAnsi" w:hAnsiTheme="minorHAnsi" w:cstheme="minorHAnsi"/>
          <w:sz w:val="22"/>
          <w:szCs w:val="22"/>
          <w:lang w:eastAsia="en-US"/>
        </w:rPr>
        <w:t xml:space="preserve">pour la réalisation d’une mise en concurrence visant à la sélection d’un </w:t>
      </w:r>
      <w:r w:rsidR="00EA2B1B" w:rsidRPr="00797966">
        <w:rPr>
          <w:rFonts w:asciiTheme="minorHAnsi" w:hAnsiTheme="minorHAnsi" w:cstheme="minorHAnsi"/>
          <w:sz w:val="22"/>
          <w:szCs w:val="22"/>
        </w:rPr>
        <w:t xml:space="preserve">ou plusieurs </w:t>
      </w:r>
      <w:r w:rsidR="00EA2B1B" w:rsidRPr="00797966">
        <w:rPr>
          <w:rFonts w:asciiTheme="minorHAnsi" w:eastAsiaTheme="minorHAnsi" w:hAnsiTheme="minorHAnsi" w:cstheme="minorHAnsi"/>
          <w:sz w:val="22"/>
          <w:szCs w:val="22"/>
          <w:lang w:eastAsia="en-US"/>
        </w:rPr>
        <w:t>organisme</w:t>
      </w:r>
      <w:r w:rsidR="00EA2B1B" w:rsidRPr="00797966">
        <w:rPr>
          <w:rFonts w:asciiTheme="minorHAnsi" w:hAnsiTheme="minorHAnsi" w:cstheme="minorHAnsi"/>
          <w:sz w:val="22"/>
          <w:szCs w:val="22"/>
        </w:rPr>
        <w:t>s</w:t>
      </w:r>
      <w:r w:rsidR="00EA2B1B" w:rsidRPr="00797966">
        <w:rPr>
          <w:rFonts w:asciiTheme="minorHAnsi" w:eastAsiaTheme="minorHAnsi" w:hAnsiTheme="minorHAnsi" w:cstheme="minorHAnsi"/>
          <w:sz w:val="22"/>
          <w:szCs w:val="22"/>
          <w:lang w:eastAsia="en-US"/>
        </w:rPr>
        <w:t xml:space="preserve"> d’assurance et la conclusion </w:t>
      </w:r>
      <w:r w:rsidR="00EA2B1B" w:rsidRPr="00797966">
        <w:rPr>
          <w:rFonts w:asciiTheme="minorHAnsi" w:hAnsiTheme="minorHAnsi" w:cstheme="minorHAnsi"/>
          <w:sz w:val="22"/>
          <w:szCs w:val="22"/>
        </w:rPr>
        <w:t>de</w:t>
      </w:r>
      <w:r w:rsidR="00EA2B1B" w:rsidRPr="00797966">
        <w:rPr>
          <w:rFonts w:asciiTheme="minorHAnsi" w:eastAsiaTheme="minorHAnsi" w:hAnsiTheme="minorHAnsi" w:cstheme="minorHAnsi"/>
          <w:sz w:val="22"/>
          <w:szCs w:val="22"/>
          <w:lang w:eastAsia="en-US"/>
        </w:rPr>
        <w:t xml:space="preserve"> convention</w:t>
      </w:r>
      <w:r w:rsidR="00EA2B1B" w:rsidRPr="00797966">
        <w:rPr>
          <w:rFonts w:asciiTheme="minorHAnsi" w:hAnsiTheme="minorHAnsi" w:cstheme="minorHAnsi"/>
          <w:sz w:val="22"/>
          <w:szCs w:val="22"/>
        </w:rPr>
        <w:t>s</w:t>
      </w:r>
      <w:r w:rsidR="00EA2B1B" w:rsidRPr="00797966">
        <w:rPr>
          <w:rFonts w:asciiTheme="minorHAnsi" w:eastAsiaTheme="minorHAnsi" w:hAnsiTheme="minorHAnsi" w:cstheme="minorHAnsi"/>
          <w:sz w:val="22"/>
          <w:szCs w:val="22"/>
          <w:lang w:eastAsia="en-US"/>
        </w:rPr>
        <w:t xml:space="preserve"> de participation pour la couverture du risque </w:t>
      </w:r>
      <w:r w:rsidR="00EA2B1B" w:rsidRPr="00797966">
        <w:rPr>
          <w:rFonts w:asciiTheme="minorHAnsi" w:hAnsiTheme="minorHAnsi" w:cstheme="minorHAnsi"/>
          <w:sz w:val="22"/>
          <w:szCs w:val="22"/>
        </w:rPr>
        <w:t>P</w:t>
      </w:r>
      <w:r w:rsidR="00EA2B1B" w:rsidRPr="00797966">
        <w:rPr>
          <w:rFonts w:asciiTheme="minorHAnsi" w:eastAsiaTheme="minorHAnsi" w:hAnsiTheme="minorHAnsi" w:cstheme="minorHAnsi"/>
          <w:sz w:val="22"/>
          <w:szCs w:val="22"/>
          <w:lang w:eastAsia="en-US"/>
        </w:rPr>
        <w:t>révoyance</w:t>
      </w:r>
      <w:r w:rsidR="00024D4A">
        <w:rPr>
          <w:rFonts w:asciiTheme="minorHAnsi" w:eastAsiaTheme="minorHAnsi" w:hAnsiTheme="minorHAnsi" w:cstheme="minorHAnsi"/>
          <w:sz w:val="22"/>
          <w:szCs w:val="22"/>
          <w:lang w:eastAsia="en-US"/>
        </w:rPr>
        <w:t xml:space="preserve"> des agents à effet du 1</w:t>
      </w:r>
      <w:r w:rsidR="00024D4A" w:rsidRPr="00024D4A">
        <w:rPr>
          <w:rFonts w:asciiTheme="minorHAnsi" w:eastAsiaTheme="minorHAnsi" w:hAnsiTheme="minorHAnsi" w:cstheme="minorHAnsi"/>
          <w:sz w:val="22"/>
          <w:szCs w:val="22"/>
          <w:vertAlign w:val="superscript"/>
          <w:lang w:eastAsia="en-US"/>
        </w:rPr>
        <w:t>er</w:t>
      </w:r>
      <w:r w:rsidR="00024D4A">
        <w:rPr>
          <w:rFonts w:asciiTheme="minorHAnsi" w:eastAsiaTheme="minorHAnsi" w:hAnsiTheme="minorHAnsi" w:cstheme="minorHAnsi"/>
          <w:sz w:val="22"/>
          <w:szCs w:val="22"/>
          <w:lang w:eastAsia="en-US"/>
        </w:rPr>
        <w:t xml:space="preserve"> janvier 2025.</w:t>
      </w:r>
    </w:p>
    <w:p w14:paraId="53111B75" w14:textId="77777777" w:rsidR="00797966" w:rsidRPr="00996F05" w:rsidRDefault="00797966" w:rsidP="00143329">
      <w:pPr>
        <w:ind w:right="-567"/>
        <w:jc w:val="both"/>
        <w:rPr>
          <w:rFonts w:asciiTheme="minorHAnsi" w:hAnsiTheme="minorHAnsi" w:cstheme="minorHAnsi"/>
          <w:sz w:val="22"/>
          <w:szCs w:val="22"/>
        </w:rPr>
      </w:pPr>
    </w:p>
    <w:p w14:paraId="09055B16" w14:textId="77777777" w:rsidR="005667CA" w:rsidRDefault="005667CA" w:rsidP="00A46F23">
      <w:pPr>
        <w:pStyle w:val="En-tte"/>
        <w:tabs>
          <w:tab w:val="clear" w:pos="4536"/>
          <w:tab w:val="clear" w:pos="9072"/>
        </w:tabs>
        <w:rPr>
          <w:rFonts w:asciiTheme="minorHAnsi" w:hAnsiTheme="minorHAnsi" w:cstheme="minorHAnsi"/>
          <w:sz w:val="22"/>
          <w:szCs w:val="22"/>
        </w:rPr>
      </w:pPr>
    </w:p>
    <w:p w14:paraId="562171EA" w14:textId="77777777" w:rsidR="00A556B6" w:rsidRDefault="00A556B6" w:rsidP="00A46F23">
      <w:pPr>
        <w:pStyle w:val="En-tte"/>
        <w:tabs>
          <w:tab w:val="clear" w:pos="4536"/>
          <w:tab w:val="clear" w:pos="9072"/>
        </w:tabs>
        <w:rPr>
          <w:rFonts w:asciiTheme="minorHAnsi" w:hAnsiTheme="minorHAnsi" w:cstheme="minorHAnsi"/>
          <w:sz w:val="22"/>
          <w:szCs w:val="22"/>
        </w:rPr>
      </w:pPr>
    </w:p>
    <w:p w14:paraId="3819F057" w14:textId="77777777" w:rsidR="00A556B6" w:rsidRDefault="00A556B6" w:rsidP="00A46F23">
      <w:pPr>
        <w:pStyle w:val="En-tte"/>
        <w:tabs>
          <w:tab w:val="clear" w:pos="4536"/>
          <w:tab w:val="clear" w:pos="9072"/>
        </w:tabs>
        <w:rPr>
          <w:rFonts w:asciiTheme="minorHAnsi" w:hAnsiTheme="minorHAnsi" w:cstheme="minorHAnsi"/>
          <w:sz w:val="22"/>
          <w:szCs w:val="22"/>
        </w:rPr>
      </w:pPr>
    </w:p>
    <w:p w14:paraId="0DE46CAB" w14:textId="77777777" w:rsidR="00A556B6" w:rsidRDefault="00A556B6" w:rsidP="00A46F23">
      <w:pPr>
        <w:pStyle w:val="En-tte"/>
        <w:tabs>
          <w:tab w:val="clear" w:pos="4536"/>
          <w:tab w:val="clear" w:pos="9072"/>
        </w:tabs>
        <w:rPr>
          <w:rFonts w:asciiTheme="minorHAnsi" w:hAnsiTheme="minorHAnsi" w:cstheme="minorHAnsi"/>
          <w:sz w:val="22"/>
          <w:szCs w:val="22"/>
        </w:rPr>
      </w:pPr>
    </w:p>
    <w:p w14:paraId="475A1F0F" w14:textId="77777777" w:rsidR="00A556B6" w:rsidRDefault="00A556B6" w:rsidP="00A46F23">
      <w:pPr>
        <w:pStyle w:val="En-tte"/>
        <w:tabs>
          <w:tab w:val="clear" w:pos="4536"/>
          <w:tab w:val="clear" w:pos="9072"/>
        </w:tabs>
        <w:rPr>
          <w:rFonts w:asciiTheme="minorHAnsi" w:hAnsiTheme="minorHAnsi" w:cstheme="minorHAnsi"/>
          <w:sz w:val="22"/>
          <w:szCs w:val="22"/>
        </w:rPr>
      </w:pPr>
    </w:p>
    <w:p w14:paraId="5AC48D83" w14:textId="77777777" w:rsidR="00A556B6" w:rsidRDefault="00A556B6" w:rsidP="00A46F23">
      <w:pPr>
        <w:pStyle w:val="En-tte"/>
        <w:tabs>
          <w:tab w:val="clear" w:pos="4536"/>
          <w:tab w:val="clear" w:pos="9072"/>
        </w:tabs>
        <w:rPr>
          <w:rFonts w:asciiTheme="minorHAnsi" w:hAnsiTheme="minorHAnsi" w:cstheme="minorHAnsi"/>
          <w:sz w:val="22"/>
          <w:szCs w:val="22"/>
        </w:rPr>
      </w:pPr>
    </w:p>
    <w:p w14:paraId="5FBC61E9" w14:textId="77777777" w:rsidR="00A556B6" w:rsidRDefault="00A556B6" w:rsidP="00A46F23">
      <w:pPr>
        <w:pStyle w:val="En-tte"/>
        <w:tabs>
          <w:tab w:val="clear" w:pos="4536"/>
          <w:tab w:val="clear" w:pos="9072"/>
        </w:tabs>
        <w:rPr>
          <w:rFonts w:asciiTheme="minorHAnsi" w:hAnsiTheme="minorHAnsi" w:cstheme="minorHAnsi"/>
          <w:sz w:val="22"/>
          <w:szCs w:val="22"/>
        </w:rPr>
      </w:pPr>
    </w:p>
    <w:p w14:paraId="4B61C045" w14:textId="64E41868" w:rsidR="00203CB7" w:rsidRPr="00AB28A5" w:rsidRDefault="00203CB7" w:rsidP="00203CB7">
      <w:pPr>
        <w:rPr>
          <w:rFonts w:ascii="Verdana" w:hAnsi="Verdana" w:cstheme="minorHAnsi"/>
          <w:b/>
          <w:sz w:val="24"/>
          <w:szCs w:val="28"/>
        </w:rPr>
      </w:pPr>
      <w:r>
        <w:rPr>
          <w:rFonts w:ascii="Verdana" w:hAnsi="Verdana" w:cstheme="minorHAnsi"/>
          <w:b/>
          <w:sz w:val="24"/>
          <w:szCs w:val="28"/>
        </w:rPr>
        <w:lastRenderedPageBreak/>
        <w:t>Avis</w:t>
      </w:r>
      <w:r w:rsidR="0097453F">
        <w:rPr>
          <w:rFonts w:ascii="Verdana" w:hAnsi="Verdana" w:cstheme="minorHAnsi"/>
          <w:b/>
          <w:sz w:val="24"/>
          <w:szCs w:val="28"/>
        </w:rPr>
        <w:t xml:space="preserve"> du comité social territorial</w:t>
      </w:r>
      <w:r w:rsidR="00A556B6">
        <w:rPr>
          <w:rFonts w:ascii="Verdana" w:hAnsi="Verdana" w:cstheme="minorHAnsi"/>
          <w:b/>
          <w:sz w:val="24"/>
          <w:szCs w:val="28"/>
        </w:rPr>
        <w:t xml:space="preserve"> </w:t>
      </w:r>
      <w:r w:rsidR="00A556B6" w:rsidRPr="00024D4A">
        <w:rPr>
          <w:rFonts w:ascii="Verdana" w:hAnsi="Verdana" w:cstheme="minorHAnsi"/>
          <w:b/>
          <w:sz w:val="24"/>
          <w:szCs w:val="28"/>
          <w:highlight w:val="cyan"/>
        </w:rPr>
        <w:t xml:space="preserve">en date du </w:t>
      </w:r>
      <w:r w:rsidR="00024D4A" w:rsidRPr="00024D4A">
        <w:rPr>
          <w:rFonts w:ascii="Verdana" w:hAnsi="Verdana" w:cstheme="minorHAnsi"/>
          <w:b/>
          <w:sz w:val="24"/>
          <w:szCs w:val="28"/>
          <w:highlight w:val="cyan"/>
        </w:rPr>
        <w:t>XXXX 2024</w:t>
      </w:r>
    </w:p>
    <w:p w14:paraId="2FE74E74" w14:textId="77777777" w:rsidR="00EC3F4F" w:rsidRDefault="00EC3F4F" w:rsidP="00EC3F4F">
      <w:pPr>
        <w:overflowPunct w:val="0"/>
        <w:contextualSpacing/>
        <w:jc w:val="both"/>
        <w:textAlignment w:val="baseline"/>
        <w:rPr>
          <w:rFonts w:ascii="Calibri" w:eastAsia="MS PGothic" w:hAnsi="Calibri"/>
          <w:color w:val="000000"/>
          <w:kern w:val="3"/>
          <w:sz w:val="24"/>
        </w:rPr>
      </w:pPr>
    </w:p>
    <w:p w14:paraId="3DAA612E" w14:textId="735DC8B9" w:rsidR="00D05FCD" w:rsidRDefault="00EC3F4F" w:rsidP="00EC3F4F">
      <w:pPr>
        <w:overflowPunct w:val="0"/>
        <w:contextualSpacing/>
        <w:jc w:val="both"/>
        <w:textAlignment w:val="baseline"/>
        <w:rPr>
          <w:rFonts w:asciiTheme="minorHAnsi" w:eastAsiaTheme="minorHAnsi" w:hAnsiTheme="minorHAnsi" w:cstheme="minorHAnsi"/>
          <w:sz w:val="22"/>
          <w:szCs w:val="22"/>
          <w:lang w:eastAsia="en-US"/>
        </w:rPr>
      </w:pPr>
      <w:r w:rsidRPr="00A556B6">
        <w:rPr>
          <w:rFonts w:asciiTheme="minorHAnsi" w:eastAsiaTheme="minorHAnsi" w:hAnsiTheme="minorHAnsi" w:cstheme="minorHAnsi"/>
          <w:sz w:val="22"/>
          <w:szCs w:val="22"/>
          <w:lang w:eastAsia="en-US"/>
        </w:rPr>
        <w:t xml:space="preserve">Ceci ayant été exposé, il est demandé aux membres du Comité Social Territorial d’émettre un avis sur </w:t>
      </w:r>
      <w:r w:rsidR="00D05FCD">
        <w:rPr>
          <w:rFonts w:asciiTheme="minorHAnsi" w:eastAsiaTheme="minorHAnsi" w:hAnsiTheme="minorHAnsi" w:cstheme="minorHAnsi"/>
          <w:sz w:val="22"/>
          <w:szCs w:val="22"/>
          <w:lang w:eastAsia="en-US"/>
        </w:rPr>
        <w:t xml:space="preserve">la volonté </w:t>
      </w:r>
      <w:r w:rsidR="00D05FCD" w:rsidRPr="00D05FCD">
        <w:rPr>
          <w:rFonts w:asciiTheme="minorHAnsi" w:eastAsiaTheme="minorHAnsi" w:hAnsiTheme="minorHAnsi" w:cstheme="minorHAnsi"/>
          <w:sz w:val="22"/>
          <w:szCs w:val="22"/>
          <w:highlight w:val="cyan"/>
          <w:lang w:eastAsia="en-US"/>
        </w:rPr>
        <w:t xml:space="preserve">de </w:t>
      </w:r>
      <w:r w:rsidR="00D05FCD" w:rsidRPr="00D05FCD">
        <w:rPr>
          <w:rFonts w:asciiTheme="minorHAnsi" w:hAnsiTheme="minorHAnsi" w:cstheme="minorHAnsi"/>
          <w:sz w:val="22"/>
          <w:szCs w:val="22"/>
          <w:highlight w:val="cyan"/>
        </w:rPr>
        <w:t>l</w:t>
      </w:r>
      <w:r w:rsidR="00D05FCD" w:rsidRPr="00CA775F">
        <w:rPr>
          <w:rFonts w:asciiTheme="minorHAnsi" w:hAnsiTheme="minorHAnsi" w:cstheme="minorHAnsi"/>
          <w:sz w:val="22"/>
          <w:szCs w:val="22"/>
          <w:highlight w:val="cyan"/>
        </w:rPr>
        <w:t>’assemblée/</w:t>
      </w:r>
      <w:r w:rsidR="00D05FCD">
        <w:rPr>
          <w:rFonts w:asciiTheme="minorHAnsi" w:hAnsiTheme="minorHAnsi" w:cstheme="minorHAnsi"/>
          <w:sz w:val="22"/>
          <w:szCs w:val="22"/>
          <w:highlight w:val="cyan"/>
        </w:rPr>
        <w:t>du</w:t>
      </w:r>
      <w:r w:rsidR="00D05FCD" w:rsidRPr="00CA775F">
        <w:rPr>
          <w:rFonts w:asciiTheme="minorHAnsi" w:hAnsiTheme="minorHAnsi" w:cstheme="minorHAnsi"/>
          <w:sz w:val="22"/>
          <w:szCs w:val="22"/>
          <w:highlight w:val="cyan"/>
        </w:rPr>
        <w:t xml:space="preserve"> </w:t>
      </w:r>
      <w:r w:rsidR="00D05FCD" w:rsidRPr="0063539D">
        <w:rPr>
          <w:rFonts w:asciiTheme="minorHAnsi" w:hAnsiTheme="minorHAnsi" w:cstheme="minorHAnsi"/>
          <w:sz w:val="22"/>
          <w:szCs w:val="22"/>
          <w:highlight w:val="cyan"/>
        </w:rPr>
        <w:t>conseil municipal/</w:t>
      </w:r>
      <w:r w:rsidR="00D05FCD">
        <w:rPr>
          <w:rFonts w:asciiTheme="minorHAnsi" w:hAnsiTheme="minorHAnsi" w:cstheme="minorHAnsi"/>
          <w:sz w:val="22"/>
          <w:szCs w:val="22"/>
          <w:highlight w:val="cyan"/>
        </w:rPr>
        <w:t>du</w:t>
      </w:r>
      <w:r w:rsidR="00D05FCD" w:rsidRPr="0063539D">
        <w:rPr>
          <w:rFonts w:asciiTheme="minorHAnsi" w:hAnsiTheme="minorHAnsi" w:cstheme="minorHAnsi"/>
          <w:sz w:val="22"/>
          <w:szCs w:val="22"/>
          <w:highlight w:val="cyan"/>
        </w:rPr>
        <w:t xml:space="preserve"> conseil d’administration</w:t>
      </w:r>
      <w:r w:rsidR="00B83A34">
        <w:rPr>
          <w:rFonts w:asciiTheme="minorHAnsi" w:eastAsiaTheme="minorHAnsi" w:hAnsiTheme="minorHAnsi" w:cstheme="minorHAnsi"/>
          <w:sz w:val="22"/>
          <w:szCs w:val="22"/>
          <w:lang w:eastAsia="en-US"/>
        </w:rPr>
        <w:t xml:space="preserve"> de</w:t>
      </w:r>
    </w:p>
    <w:p w14:paraId="6300AA80" w14:textId="77777777" w:rsidR="00D05FCD" w:rsidRDefault="00D05FCD" w:rsidP="00D05FCD">
      <w:pPr>
        <w:ind w:right="-567"/>
        <w:jc w:val="both"/>
      </w:pPr>
    </w:p>
    <w:p w14:paraId="2B99CBB0" w14:textId="77777777" w:rsidR="00D05FCD" w:rsidRPr="00D05FCD" w:rsidRDefault="00D05FCD" w:rsidP="00D05FCD">
      <w:pPr>
        <w:numPr>
          <w:ilvl w:val="0"/>
          <w:numId w:val="5"/>
        </w:numPr>
        <w:suppressAutoHyphens w:val="0"/>
        <w:spacing w:after="120" w:line="276" w:lineRule="auto"/>
        <w:ind w:hanging="284"/>
        <w:jc w:val="both"/>
        <w:rPr>
          <w:rFonts w:asciiTheme="minorHAnsi" w:eastAsia="Arial" w:hAnsiTheme="minorHAnsi" w:cstheme="minorHAnsi"/>
          <w:sz w:val="22"/>
          <w:szCs w:val="22"/>
        </w:rPr>
      </w:pPr>
      <w:r w:rsidRPr="00D05FCD">
        <w:rPr>
          <w:rFonts w:asciiTheme="minorHAnsi" w:hAnsiTheme="minorHAnsi" w:cstheme="minorHAnsi"/>
          <w:b/>
          <w:bCs/>
          <w:sz w:val="22"/>
          <w:szCs w:val="22"/>
        </w:rPr>
        <w:t>D</w:t>
      </w:r>
      <w:r w:rsidRPr="00D05FCD">
        <w:rPr>
          <w:rFonts w:asciiTheme="minorHAnsi" w:eastAsiaTheme="minorHAnsi" w:hAnsiTheme="minorHAnsi" w:cstheme="minorHAnsi"/>
          <w:b/>
          <w:bCs/>
          <w:sz w:val="22"/>
          <w:szCs w:val="22"/>
          <w:lang w:eastAsia="en-US"/>
        </w:rPr>
        <w:t>onner mandat au Centre de gestion de Loire-Atlantique</w:t>
      </w:r>
      <w:r w:rsidRPr="00D05FCD">
        <w:rPr>
          <w:rFonts w:asciiTheme="minorHAnsi" w:hAnsiTheme="minorHAnsi" w:cstheme="minorHAnsi"/>
          <w:sz w:val="22"/>
          <w:szCs w:val="22"/>
        </w:rPr>
        <w:t>, coordonnateur du groupement de commandes constitué des 5 Centres de Gestion de la région des Pays de la Loire</w:t>
      </w:r>
      <w:r w:rsidRPr="00D05FCD">
        <w:rPr>
          <w:rFonts w:asciiTheme="minorHAnsi" w:eastAsia="Arial" w:hAnsiTheme="minorHAnsi" w:cstheme="minorHAnsi"/>
          <w:sz w:val="22"/>
          <w:szCs w:val="22"/>
        </w:rPr>
        <w:t xml:space="preserve">, </w:t>
      </w:r>
      <w:r w:rsidRPr="00D05FCD">
        <w:rPr>
          <w:rFonts w:asciiTheme="minorHAnsi" w:eastAsiaTheme="minorHAnsi" w:hAnsiTheme="minorHAnsi" w:cstheme="minorHAnsi"/>
          <w:sz w:val="22"/>
          <w:szCs w:val="22"/>
          <w:lang w:eastAsia="en-US"/>
        </w:rPr>
        <w:t>pour l</w:t>
      </w:r>
      <w:r w:rsidRPr="00D05FCD">
        <w:rPr>
          <w:rFonts w:asciiTheme="minorHAnsi" w:hAnsiTheme="minorHAnsi" w:cstheme="minorHAnsi"/>
          <w:sz w:val="22"/>
          <w:szCs w:val="22"/>
        </w:rPr>
        <w:t>’organisation, l</w:t>
      </w:r>
      <w:r w:rsidRPr="00D05FCD">
        <w:rPr>
          <w:rFonts w:asciiTheme="minorHAnsi" w:eastAsiaTheme="minorHAnsi" w:hAnsiTheme="minorHAnsi" w:cstheme="minorHAnsi"/>
          <w:sz w:val="22"/>
          <w:szCs w:val="22"/>
          <w:lang w:eastAsia="en-US"/>
        </w:rPr>
        <w:t>a conduite</w:t>
      </w:r>
      <w:r w:rsidRPr="00D05FCD">
        <w:rPr>
          <w:rFonts w:asciiTheme="minorHAnsi" w:hAnsiTheme="minorHAnsi" w:cstheme="minorHAnsi"/>
          <w:sz w:val="22"/>
          <w:szCs w:val="22"/>
        </w:rPr>
        <w:t xml:space="preserve"> et l’animation</w:t>
      </w:r>
      <w:r w:rsidRPr="00D05FCD">
        <w:rPr>
          <w:rFonts w:asciiTheme="minorHAnsi" w:eastAsiaTheme="minorHAnsi" w:hAnsiTheme="minorHAnsi" w:cstheme="minorHAnsi"/>
          <w:sz w:val="22"/>
          <w:szCs w:val="22"/>
          <w:lang w:eastAsia="en-US"/>
        </w:rPr>
        <w:t xml:space="preserve"> du dialogue social au niveau régional en vertu des dispositions de l’accord collectif national du 11 juillet 2023 portant réforme de la Protection Sociale Complémentaire dans la Fonction Publique Territoriale</w:t>
      </w:r>
      <w:r w:rsidRPr="00D05FCD">
        <w:rPr>
          <w:rFonts w:asciiTheme="minorHAnsi" w:hAnsiTheme="minorHAnsi" w:cstheme="minorHAnsi"/>
          <w:sz w:val="22"/>
          <w:szCs w:val="22"/>
        </w:rPr>
        <w:t xml:space="preserve"> </w:t>
      </w:r>
      <w:r w:rsidRPr="00D05FCD">
        <w:rPr>
          <w:rFonts w:asciiTheme="minorHAnsi" w:eastAsia="Arial" w:hAnsiTheme="minorHAnsi" w:cstheme="minorHAnsi"/>
          <w:sz w:val="22"/>
          <w:szCs w:val="22"/>
        </w:rPr>
        <w:t>;</w:t>
      </w:r>
    </w:p>
    <w:p w14:paraId="4627FAF3" w14:textId="33703931" w:rsidR="00D05FCD" w:rsidRPr="00D05FCD" w:rsidRDefault="00D05FCD" w:rsidP="00D05FCD">
      <w:pPr>
        <w:numPr>
          <w:ilvl w:val="0"/>
          <w:numId w:val="5"/>
        </w:numPr>
        <w:suppressAutoHyphens w:val="0"/>
        <w:spacing w:after="120" w:line="276" w:lineRule="auto"/>
        <w:ind w:hanging="284"/>
        <w:jc w:val="both"/>
        <w:rPr>
          <w:rFonts w:asciiTheme="minorHAnsi" w:eastAsia="Arial" w:hAnsiTheme="minorHAnsi" w:cstheme="minorHAnsi"/>
          <w:sz w:val="22"/>
          <w:szCs w:val="22"/>
        </w:rPr>
      </w:pPr>
      <w:r w:rsidRPr="00D05FCD">
        <w:rPr>
          <w:rFonts w:asciiTheme="minorHAnsi" w:hAnsiTheme="minorHAnsi" w:cstheme="minorHAnsi"/>
          <w:b/>
          <w:bCs/>
          <w:sz w:val="22"/>
          <w:szCs w:val="22"/>
        </w:rPr>
        <w:t>D</w:t>
      </w:r>
      <w:r w:rsidRPr="00D05FCD">
        <w:rPr>
          <w:rFonts w:asciiTheme="minorHAnsi" w:eastAsiaTheme="minorHAnsi" w:hAnsiTheme="minorHAnsi" w:cstheme="minorHAnsi"/>
          <w:b/>
          <w:bCs/>
          <w:sz w:val="22"/>
          <w:szCs w:val="22"/>
          <w:lang w:eastAsia="en-US"/>
        </w:rPr>
        <w:t>onner mandat au Centre de gestion de Loire-Atlantique</w:t>
      </w:r>
      <w:r w:rsidRPr="00D05FCD">
        <w:rPr>
          <w:rFonts w:asciiTheme="minorHAnsi" w:eastAsiaTheme="minorHAnsi" w:hAnsiTheme="minorHAnsi" w:cstheme="minorHAnsi"/>
          <w:sz w:val="22"/>
          <w:szCs w:val="22"/>
          <w:lang w:eastAsia="en-US"/>
        </w:rPr>
        <w:t xml:space="preserve"> pour la réalisation d’une mise en concurrence visant à la sélection d’un </w:t>
      </w:r>
      <w:r w:rsidRPr="00D05FCD">
        <w:rPr>
          <w:rFonts w:asciiTheme="minorHAnsi" w:hAnsiTheme="minorHAnsi" w:cstheme="minorHAnsi"/>
          <w:sz w:val="22"/>
          <w:szCs w:val="22"/>
        </w:rPr>
        <w:t xml:space="preserve">ou plusieurs </w:t>
      </w:r>
      <w:r w:rsidRPr="00D05FCD">
        <w:rPr>
          <w:rFonts w:asciiTheme="minorHAnsi" w:eastAsiaTheme="minorHAnsi" w:hAnsiTheme="minorHAnsi" w:cstheme="minorHAnsi"/>
          <w:sz w:val="22"/>
          <w:szCs w:val="22"/>
          <w:lang w:eastAsia="en-US"/>
        </w:rPr>
        <w:t>organisme</w:t>
      </w:r>
      <w:r w:rsidRPr="00D05FCD">
        <w:rPr>
          <w:rFonts w:asciiTheme="minorHAnsi" w:hAnsiTheme="minorHAnsi" w:cstheme="minorHAnsi"/>
          <w:sz w:val="22"/>
          <w:szCs w:val="22"/>
        </w:rPr>
        <w:t>s</w:t>
      </w:r>
      <w:r w:rsidRPr="00D05FCD">
        <w:rPr>
          <w:rFonts w:asciiTheme="minorHAnsi" w:eastAsiaTheme="minorHAnsi" w:hAnsiTheme="minorHAnsi" w:cstheme="minorHAnsi"/>
          <w:sz w:val="22"/>
          <w:szCs w:val="22"/>
          <w:lang w:eastAsia="en-US"/>
        </w:rPr>
        <w:t xml:space="preserve"> d’assurance et la conclusion </w:t>
      </w:r>
      <w:r w:rsidRPr="00D05FCD">
        <w:rPr>
          <w:rFonts w:asciiTheme="minorHAnsi" w:hAnsiTheme="minorHAnsi" w:cstheme="minorHAnsi"/>
          <w:sz w:val="22"/>
          <w:szCs w:val="22"/>
        </w:rPr>
        <w:t>de</w:t>
      </w:r>
      <w:r w:rsidRPr="00D05FCD">
        <w:rPr>
          <w:rFonts w:asciiTheme="minorHAnsi" w:eastAsiaTheme="minorHAnsi" w:hAnsiTheme="minorHAnsi" w:cstheme="minorHAnsi"/>
          <w:sz w:val="22"/>
          <w:szCs w:val="22"/>
          <w:lang w:eastAsia="en-US"/>
        </w:rPr>
        <w:t xml:space="preserve"> convention</w:t>
      </w:r>
      <w:r w:rsidRPr="00D05FCD">
        <w:rPr>
          <w:rFonts w:asciiTheme="minorHAnsi" w:hAnsiTheme="minorHAnsi" w:cstheme="minorHAnsi"/>
          <w:sz w:val="22"/>
          <w:szCs w:val="22"/>
        </w:rPr>
        <w:t>s</w:t>
      </w:r>
      <w:r w:rsidRPr="00D05FCD">
        <w:rPr>
          <w:rFonts w:asciiTheme="minorHAnsi" w:eastAsiaTheme="minorHAnsi" w:hAnsiTheme="minorHAnsi" w:cstheme="minorHAnsi"/>
          <w:sz w:val="22"/>
          <w:szCs w:val="22"/>
          <w:lang w:eastAsia="en-US"/>
        </w:rPr>
        <w:t xml:space="preserve"> de participation pour la couverture du risque </w:t>
      </w:r>
      <w:r w:rsidRPr="00D05FCD">
        <w:rPr>
          <w:rFonts w:asciiTheme="minorHAnsi" w:hAnsiTheme="minorHAnsi" w:cstheme="minorHAnsi"/>
          <w:sz w:val="22"/>
          <w:szCs w:val="22"/>
        </w:rPr>
        <w:t>P</w:t>
      </w:r>
      <w:r w:rsidRPr="00D05FCD">
        <w:rPr>
          <w:rFonts w:asciiTheme="minorHAnsi" w:eastAsiaTheme="minorHAnsi" w:hAnsiTheme="minorHAnsi" w:cstheme="minorHAnsi"/>
          <w:sz w:val="22"/>
          <w:szCs w:val="22"/>
          <w:lang w:eastAsia="en-US"/>
        </w:rPr>
        <w:t>révoyance</w:t>
      </w:r>
      <w:r w:rsidRPr="00D05FCD">
        <w:rPr>
          <w:rFonts w:asciiTheme="minorHAnsi" w:hAnsiTheme="minorHAnsi" w:cstheme="minorHAnsi"/>
          <w:sz w:val="22"/>
          <w:szCs w:val="22"/>
        </w:rPr>
        <w:t xml:space="preserve"> </w:t>
      </w:r>
      <w:r w:rsidR="00B83A34">
        <w:rPr>
          <w:rFonts w:asciiTheme="minorHAnsi" w:hAnsiTheme="minorHAnsi" w:cstheme="minorHAnsi"/>
          <w:sz w:val="22"/>
          <w:szCs w:val="22"/>
        </w:rPr>
        <w:t>des agents à effet du 1</w:t>
      </w:r>
      <w:r w:rsidR="00B83A34" w:rsidRPr="00B83A34">
        <w:rPr>
          <w:rFonts w:asciiTheme="minorHAnsi" w:hAnsiTheme="minorHAnsi" w:cstheme="minorHAnsi"/>
          <w:sz w:val="22"/>
          <w:szCs w:val="22"/>
          <w:vertAlign w:val="superscript"/>
        </w:rPr>
        <w:t>er</w:t>
      </w:r>
      <w:r w:rsidR="00B83A34">
        <w:rPr>
          <w:rFonts w:asciiTheme="minorHAnsi" w:hAnsiTheme="minorHAnsi" w:cstheme="minorHAnsi"/>
          <w:sz w:val="22"/>
          <w:szCs w:val="22"/>
        </w:rPr>
        <w:t xml:space="preserve"> janvier 2025 </w:t>
      </w:r>
      <w:r w:rsidRPr="00D05FCD">
        <w:rPr>
          <w:rFonts w:asciiTheme="minorHAnsi" w:eastAsia="Arial" w:hAnsiTheme="minorHAnsi" w:cstheme="minorHAnsi"/>
          <w:bCs/>
          <w:sz w:val="22"/>
          <w:szCs w:val="22"/>
        </w:rPr>
        <w:t>;</w:t>
      </w:r>
    </w:p>
    <w:p w14:paraId="6C6836F9" w14:textId="77777777" w:rsidR="00D05FCD" w:rsidRDefault="00D05FCD" w:rsidP="00EC3F4F">
      <w:pPr>
        <w:overflowPunct w:val="0"/>
        <w:contextualSpacing/>
        <w:jc w:val="both"/>
        <w:textAlignment w:val="baseline"/>
        <w:rPr>
          <w:rFonts w:asciiTheme="minorHAnsi" w:eastAsiaTheme="minorHAnsi" w:hAnsiTheme="minorHAnsi" w:cstheme="minorHAnsi"/>
          <w:sz w:val="22"/>
          <w:szCs w:val="22"/>
          <w:lang w:eastAsia="en-US"/>
        </w:rPr>
      </w:pPr>
    </w:p>
    <w:p w14:paraId="38616E4C" w14:textId="77777777" w:rsidR="00A46F23" w:rsidRPr="00996F05" w:rsidRDefault="00A46F23" w:rsidP="00A46F23">
      <w:pPr>
        <w:tabs>
          <w:tab w:val="left" w:pos="5040"/>
          <w:tab w:val="left" w:leader="dot" w:pos="7371"/>
          <w:tab w:val="left" w:leader="dot" w:pos="9923"/>
        </w:tabs>
        <w:rPr>
          <w:rFonts w:asciiTheme="minorHAnsi" w:hAnsiTheme="minorHAnsi" w:cstheme="minorHAnsi"/>
          <w:sz w:val="22"/>
          <w:szCs w:val="22"/>
        </w:rPr>
      </w:pPr>
      <w:r w:rsidRPr="00996F05">
        <w:rPr>
          <w:rFonts w:asciiTheme="minorHAnsi" w:hAnsiTheme="minorHAnsi" w:cstheme="minorHAnsi"/>
          <w:sz w:val="22"/>
          <w:szCs w:val="22"/>
        </w:rPr>
        <w:tab/>
        <w:t xml:space="preserve">Fait à </w:t>
      </w:r>
      <w:r w:rsidRPr="00996F05">
        <w:rPr>
          <w:rFonts w:asciiTheme="minorHAnsi" w:hAnsiTheme="minorHAnsi" w:cstheme="minorHAnsi"/>
          <w:sz w:val="22"/>
          <w:szCs w:val="22"/>
        </w:rPr>
        <w:tab/>
        <w:t xml:space="preserve"> le </w:t>
      </w:r>
      <w:r w:rsidRPr="00996F05">
        <w:rPr>
          <w:rFonts w:asciiTheme="minorHAnsi" w:hAnsiTheme="minorHAnsi" w:cstheme="minorHAnsi"/>
          <w:sz w:val="22"/>
          <w:szCs w:val="22"/>
        </w:rPr>
        <w:tab/>
      </w:r>
    </w:p>
    <w:p w14:paraId="38616E4D" w14:textId="77777777" w:rsidR="00A46F23" w:rsidRPr="00996F05" w:rsidRDefault="00A46F23" w:rsidP="00A46F23">
      <w:pPr>
        <w:pStyle w:val="Titre2"/>
        <w:tabs>
          <w:tab w:val="left" w:pos="5580"/>
        </w:tabs>
        <w:ind w:left="2124" w:firstLine="708"/>
        <w:rPr>
          <w:rFonts w:asciiTheme="minorHAnsi" w:hAnsiTheme="minorHAnsi" w:cstheme="minorHAnsi"/>
          <w:szCs w:val="22"/>
        </w:rPr>
      </w:pPr>
      <w:r w:rsidRPr="00996F05">
        <w:rPr>
          <w:rFonts w:asciiTheme="minorHAnsi" w:hAnsiTheme="minorHAnsi" w:cstheme="minorHAnsi"/>
          <w:szCs w:val="22"/>
        </w:rPr>
        <w:tab/>
        <w:t>Prénom, nom et qualité du signataire,</w:t>
      </w:r>
    </w:p>
    <w:p w14:paraId="38616E4E" w14:textId="77777777" w:rsidR="00A46F23" w:rsidRPr="00996F05" w:rsidRDefault="00A46F23" w:rsidP="00A46F23">
      <w:pPr>
        <w:rPr>
          <w:rFonts w:asciiTheme="minorHAnsi" w:hAnsiTheme="minorHAnsi" w:cstheme="minorHAnsi"/>
          <w:sz w:val="22"/>
          <w:szCs w:val="22"/>
        </w:rPr>
      </w:pPr>
    </w:p>
    <w:p w14:paraId="38616E4F" w14:textId="77777777" w:rsidR="00390183" w:rsidRPr="00996F05" w:rsidRDefault="00390183">
      <w:pPr>
        <w:rPr>
          <w:rFonts w:asciiTheme="minorHAnsi" w:hAnsiTheme="minorHAnsi" w:cstheme="minorHAnsi"/>
          <w:sz w:val="22"/>
          <w:szCs w:val="22"/>
        </w:rPr>
      </w:pPr>
    </w:p>
    <w:sectPr w:rsidR="00390183" w:rsidRPr="00996F05" w:rsidSect="00143329">
      <w:footerReference w:type="default" r:id="rId10"/>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6E52" w14:textId="77777777" w:rsidR="00387D9C" w:rsidRDefault="00387D9C" w:rsidP="00387D9C">
      <w:r>
        <w:separator/>
      </w:r>
    </w:p>
  </w:endnote>
  <w:endnote w:type="continuationSeparator" w:id="0">
    <w:p w14:paraId="38616E53" w14:textId="77777777" w:rsidR="00387D9C" w:rsidRDefault="00387D9C" w:rsidP="003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6E54" w14:textId="77777777" w:rsidR="00024D4A" w:rsidRDefault="007F189F">
    <w:pPr>
      <w:pStyle w:val="Pieddepage"/>
      <w:rPr>
        <w:szCs w:val="18"/>
      </w:rPr>
    </w:pPr>
    <w:r>
      <w:rPr>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6E50" w14:textId="77777777" w:rsidR="00387D9C" w:rsidRDefault="00387D9C" w:rsidP="00387D9C">
      <w:r>
        <w:separator/>
      </w:r>
    </w:p>
  </w:footnote>
  <w:footnote w:type="continuationSeparator" w:id="0">
    <w:p w14:paraId="38616E51" w14:textId="77777777" w:rsidR="00387D9C" w:rsidRDefault="00387D9C" w:rsidP="00387D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color w:val="auto"/>
        <w:sz w:val="20"/>
      </w:rPr>
    </w:lvl>
  </w:abstractNum>
  <w:abstractNum w:abstractNumId="2" w15:restartNumberingAfterBreak="0">
    <w:nsid w:val="01ED2122"/>
    <w:multiLevelType w:val="multilevel"/>
    <w:tmpl w:val="9B604D5C"/>
    <w:lvl w:ilvl="0">
      <w:numFmt w:val="bullet"/>
      <w:lvlText w:val="-"/>
      <w:lvlJc w:val="left"/>
      <w:pPr>
        <w:ind w:left="720" w:hanging="360"/>
      </w:pPr>
      <w:rPr>
        <w:rFonts w:ascii="Calibri" w:eastAsia="MS PGothic"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6C041C9C"/>
    <w:multiLevelType w:val="hybridMultilevel"/>
    <w:tmpl w:val="9588E94A"/>
    <w:lvl w:ilvl="0" w:tplc="D6425D08">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3"/>
    <w:rsid w:val="00024D4A"/>
    <w:rsid w:val="00031871"/>
    <w:rsid w:val="00143329"/>
    <w:rsid w:val="0015208A"/>
    <w:rsid w:val="001609DB"/>
    <w:rsid w:val="001775DB"/>
    <w:rsid w:val="001E0C24"/>
    <w:rsid w:val="001E5003"/>
    <w:rsid w:val="00203CB7"/>
    <w:rsid w:val="002C0737"/>
    <w:rsid w:val="002E2365"/>
    <w:rsid w:val="002F297A"/>
    <w:rsid w:val="0032630A"/>
    <w:rsid w:val="00330048"/>
    <w:rsid w:val="0038668E"/>
    <w:rsid w:val="00387D9C"/>
    <w:rsid w:val="00390183"/>
    <w:rsid w:val="003957C0"/>
    <w:rsid w:val="00397A35"/>
    <w:rsid w:val="004234B6"/>
    <w:rsid w:val="004D783E"/>
    <w:rsid w:val="004F48B5"/>
    <w:rsid w:val="00507C74"/>
    <w:rsid w:val="00532A78"/>
    <w:rsid w:val="005667CA"/>
    <w:rsid w:val="005912AB"/>
    <w:rsid w:val="005F590D"/>
    <w:rsid w:val="00612C65"/>
    <w:rsid w:val="006139B5"/>
    <w:rsid w:val="0063539D"/>
    <w:rsid w:val="00641605"/>
    <w:rsid w:val="006814D4"/>
    <w:rsid w:val="00683FCD"/>
    <w:rsid w:val="006D25AF"/>
    <w:rsid w:val="006D30B3"/>
    <w:rsid w:val="006E68E9"/>
    <w:rsid w:val="00700DBB"/>
    <w:rsid w:val="00797966"/>
    <w:rsid w:val="007F189F"/>
    <w:rsid w:val="00801970"/>
    <w:rsid w:val="00822FC6"/>
    <w:rsid w:val="008B2721"/>
    <w:rsid w:val="008D31E3"/>
    <w:rsid w:val="008F1C0B"/>
    <w:rsid w:val="009348BF"/>
    <w:rsid w:val="0093637E"/>
    <w:rsid w:val="00955083"/>
    <w:rsid w:val="0097453F"/>
    <w:rsid w:val="00996F05"/>
    <w:rsid w:val="00A46F23"/>
    <w:rsid w:val="00A556B6"/>
    <w:rsid w:val="00A87C58"/>
    <w:rsid w:val="00B36E69"/>
    <w:rsid w:val="00B802D8"/>
    <w:rsid w:val="00B83A34"/>
    <w:rsid w:val="00BB4508"/>
    <w:rsid w:val="00BF47A8"/>
    <w:rsid w:val="00C2263D"/>
    <w:rsid w:val="00C5382C"/>
    <w:rsid w:val="00CA775F"/>
    <w:rsid w:val="00CB2705"/>
    <w:rsid w:val="00D05FCD"/>
    <w:rsid w:val="00D475C9"/>
    <w:rsid w:val="00E3369D"/>
    <w:rsid w:val="00E56B5C"/>
    <w:rsid w:val="00E97466"/>
    <w:rsid w:val="00EA096B"/>
    <w:rsid w:val="00EA2B1B"/>
    <w:rsid w:val="00EC3F4F"/>
    <w:rsid w:val="00EF38E0"/>
    <w:rsid w:val="00F55F46"/>
    <w:rsid w:val="00F65436"/>
    <w:rsid w:val="00FE433C"/>
    <w:rsid w:val="00FF0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E32"/>
  <w15:chartTrackingRefBased/>
  <w15:docId w15:val="{A44FEA2F-4673-41A2-BEDC-126E70E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BF"/>
    <w:pPr>
      <w:suppressAutoHyphens/>
      <w:spacing w:after="0" w:line="240" w:lineRule="auto"/>
    </w:pPr>
    <w:rPr>
      <w:rFonts w:ascii="Times New Roman" w:eastAsia="Times New Roman" w:hAnsi="Times New Roman" w:cs="Times New Roman"/>
      <w:sz w:val="20"/>
      <w:szCs w:val="24"/>
      <w:lang w:eastAsia="ar-SA"/>
    </w:rPr>
  </w:style>
  <w:style w:type="paragraph" w:styleId="Titre1">
    <w:name w:val="heading 1"/>
    <w:basedOn w:val="Normal"/>
    <w:next w:val="Normal"/>
    <w:link w:val="Titre1Car"/>
    <w:uiPriority w:val="9"/>
    <w:qFormat/>
    <w:rsid w:val="00C538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A46F23"/>
    <w:pPr>
      <w:keepNext/>
      <w:numPr>
        <w:ilvl w:val="1"/>
        <w:numId w:val="1"/>
      </w:numPr>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6F23"/>
    <w:rPr>
      <w:rFonts w:ascii="Times New Roman" w:eastAsia="Times New Roman" w:hAnsi="Times New Roman" w:cs="Times New Roman"/>
      <w:i/>
      <w:iCs/>
      <w:szCs w:val="24"/>
      <w:lang w:eastAsia="ar-SA"/>
    </w:rPr>
  </w:style>
  <w:style w:type="paragraph" w:styleId="Corpsdetexte">
    <w:name w:val="Body Text"/>
    <w:basedOn w:val="Normal"/>
    <w:link w:val="CorpsdetexteCar"/>
    <w:rsid w:val="00A46F23"/>
    <w:rPr>
      <w:i/>
      <w:iCs/>
      <w:sz w:val="22"/>
    </w:rPr>
  </w:style>
  <w:style w:type="character" w:customStyle="1" w:styleId="CorpsdetexteCar">
    <w:name w:val="Corps de texte Car"/>
    <w:basedOn w:val="Policepardfaut"/>
    <w:link w:val="Corpsdetexte"/>
    <w:rsid w:val="00A46F23"/>
    <w:rPr>
      <w:rFonts w:ascii="Times New Roman" w:eastAsia="Times New Roman" w:hAnsi="Times New Roman" w:cs="Times New Roman"/>
      <w:i/>
      <w:iCs/>
      <w:szCs w:val="24"/>
      <w:lang w:eastAsia="ar-SA"/>
    </w:rPr>
  </w:style>
  <w:style w:type="paragraph" w:styleId="En-tte">
    <w:name w:val="header"/>
    <w:basedOn w:val="Normal"/>
    <w:link w:val="En-tteCar"/>
    <w:rsid w:val="00A46F23"/>
    <w:pPr>
      <w:tabs>
        <w:tab w:val="center" w:pos="4536"/>
        <w:tab w:val="right" w:pos="9072"/>
      </w:tabs>
    </w:pPr>
  </w:style>
  <w:style w:type="character" w:customStyle="1" w:styleId="En-tteCar">
    <w:name w:val="En-tête Car"/>
    <w:basedOn w:val="Policepardfaut"/>
    <w:link w:val="En-tte"/>
    <w:rsid w:val="00A46F23"/>
    <w:rPr>
      <w:rFonts w:ascii="Times New Roman" w:eastAsia="Times New Roman" w:hAnsi="Times New Roman" w:cs="Times New Roman"/>
      <w:sz w:val="20"/>
      <w:szCs w:val="24"/>
      <w:lang w:eastAsia="ar-SA"/>
    </w:rPr>
  </w:style>
  <w:style w:type="paragraph" w:styleId="Pieddepage">
    <w:name w:val="footer"/>
    <w:basedOn w:val="Normal"/>
    <w:link w:val="PieddepageCar"/>
    <w:qFormat/>
    <w:rsid w:val="00A46F23"/>
    <w:pPr>
      <w:tabs>
        <w:tab w:val="center" w:pos="4536"/>
        <w:tab w:val="right" w:pos="9072"/>
      </w:tabs>
    </w:pPr>
  </w:style>
  <w:style w:type="character" w:customStyle="1" w:styleId="PieddepageCar">
    <w:name w:val="Pied de page Car"/>
    <w:basedOn w:val="Policepardfaut"/>
    <w:link w:val="Pieddepage"/>
    <w:rsid w:val="00A46F23"/>
    <w:rPr>
      <w:rFonts w:ascii="Times New Roman" w:eastAsia="Times New Roman" w:hAnsi="Times New Roman" w:cs="Times New Roman"/>
      <w:sz w:val="20"/>
      <w:szCs w:val="24"/>
      <w:lang w:eastAsia="ar-SA"/>
    </w:rPr>
  </w:style>
  <w:style w:type="paragraph" w:styleId="Retraitcorpsdetexte">
    <w:name w:val="Body Text Indent"/>
    <w:basedOn w:val="Normal"/>
    <w:link w:val="RetraitcorpsdetexteCar"/>
    <w:rsid w:val="00A46F23"/>
    <w:pPr>
      <w:pBdr>
        <w:top w:val="single" w:sz="4" w:space="1" w:color="000000"/>
        <w:left w:val="single" w:sz="4" w:space="2" w:color="000000"/>
        <w:bottom w:val="single" w:sz="4" w:space="1" w:color="000000"/>
        <w:right w:val="single" w:sz="4" w:space="4" w:color="000000"/>
      </w:pBdr>
      <w:ind w:left="2832"/>
      <w:jc w:val="center"/>
    </w:pPr>
    <w:rPr>
      <w:b/>
      <w:bCs/>
      <w:sz w:val="24"/>
    </w:rPr>
  </w:style>
  <w:style w:type="character" w:customStyle="1" w:styleId="RetraitcorpsdetexteCar">
    <w:name w:val="Retrait corps de texte Car"/>
    <w:basedOn w:val="Policepardfaut"/>
    <w:link w:val="Retraitcorpsdetexte"/>
    <w:rsid w:val="00A46F23"/>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143329"/>
    <w:pPr>
      <w:suppressAutoHyphens w:val="0"/>
      <w:spacing w:before="240" w:after="240" w:line="264" w:lineRule="auto"/>
    </w:pPr>
    <w:rPr>
      <w:rFonts w:ascii="Arial" w:eastAsiaTheme="minorHAnsi" w:hAnsi="Arial" w:cs="Arial"/>
      <w:sz w:val="24"/>
      <w:lang w:eastAsia="fr-FR"/>
    </w:rPr>
  </w:style>
  <w:style w:type="character" w:customStyle="1" w:styleId="Titre1Car">
    <w:name w:val="Titre 1 Car"/>
    <w:basedOn w:val="Policepardfaut"/>
    <w:link w:val="Titre1"/>
    <w:uiPriority w:val="9"/>
    <w:rsid w:val="00C5382C"/>
    <w:rPr>
      <w:rFonts w:asciiTheme="majorHAnsi" w:eastAsiaTheme="majorEastAsia" w:hAnsiTheme="majorHAnsi" w:cstheme="majorBidi"/>
      <w:color w:val="2E74B5" w:themeColor="accent1" w:themeShade="BF"/>
      <w:sz w:val="32"/>
      <w:szCs w:val="32"/>
      <w:lang w:eastAsia="ar-SA"/>
    </w:rPr>
  </w:style>
  <w:style w:type="paragraph" w:styleId="Paragraphedeliste">
    <w:name w:val="List Paragraph"/>
    <w:basedOn w:val="Normal"/>
    <w:uiPriority w:val="34"/>
    <w:qFormat/>
    <w:rsid w:val="00D4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3" ma:contentTypeDescription="Crée un document." ma:contentTypeScope="" ma:versionID="17f507a81b13a2212ea8315dbef37a65">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753313340aaa4a238b509f0fc7e5a577"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0298E3-5437-4ABD-AB3B-BD2719933516}">
  <ds:schemaRefs>
    <ds:schemaRef ds:uri="http://schemas.microsoft.com/sharepoint/v3/contenttype/forms"/>
  </ds:schemaRefs>
</ds:datastoreItem>
</file>

<file path=customXml/itemProps2.xml><?xml version="1.0" encoding="utf-8"?>
<ds:datastoreItem xmlns:ds="http://schemas.openxmlformats.org/officeDocument/2006/customXml" ds:itemID="{3D418DB0-A869-4C22-B890-9BA91199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4445F-4E69-483C-8F41-1C2D78AA2A7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83e8e55-17ad-4db5-8d28-44d4072afee6"/>
    <ds:schemaRef ds:uri="1f21e3ec-9db3-4d4c-b8c0-fcb0e8911b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1598</Words>
  <Characters>8795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Riou</dc:creator>
  <cp:keywords/>
  <dc:description/>
  <cp:lastModifiedBy>Véronique Riou</cp:lastModifiedBy>
  <cp:revision>5</cp:revision>
  <dcterms:created xsi:type="dcterms:W3CDTF">2023-12-14T15:05:00Z</dcterms:created>
  <dcterms:modified xsi:type="dcterms:W3CDTF">2023-12-18T13:55:00Z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ies>
</file>