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CD1" w:rsidRPr="001C379C" w:rsidRDefault="000F7CD1" w:rsidP="000F7CD1">
      <w:pPr>
        <w:jc w:val="center"/>
        <w:rPr>
          <w:sz w:val="22"/>
        </w:rPr>
      </w:pPr>
    </w:p>
    <w:p w:rsidR="001C379C" w:rsidRPr="00F153D4" w:rsidRDefault="001C379C" w:rsidP="001C379C">
      <w:pPr>
        <w:spacing w:before="0" w:after="0" w:line="259" w:lineRule="auto"/>
        <w:contextualSpacing w:val="0"/>
        <w:jc w:val="center"/>
        <w:rPr>
          <w:rFonts w:ascii="Verdana" w:eastAsia="Calibri" w:hAnsi="Verdana" w:cs="Times New Roman"/>
          <w:b/>
          <w:sz w:val="28"/>
        </w:rPr>
      </w:pPr>
      <w:r w:rsidRPr="00F153D4">
        <w:rPr>
          <w:rFonts w:ascii="Verdana" w:eastAsia="Calibri" w:hAnsi="Verdana" w:cs="Times New Roman"/>
          <w:b/>
          <w:sz w:val="28"/>
        </w:rPr>
        <w:t>DÉLIB</w:t>
      </w:r>
      <w:r w:rsidR="005A70B2" w:rsidRPr="00F153D4">
        <w:rPr>
          <w:rFonts w:ascii="Verdana" w:eastAsia="Calibri" w:hAnsi="Verdana" w:cs="Times New Roman"/>
          <w:b/>
          <w:sz w:val="28"/>
        </w:rPr>
        <w:t>É</w:t>
      </w:r>
      <w:r w:rsidRPr="00F153D4">
        <w:rPr>
          <w:rFonts w:ascii="Verdana" w:eastAsia="Calibri" w:hAnsi="Verdana" w:cs="Times New Roman"/>
          <w:b/>
          <w:sz w:val="28"/>
        </w:rPr>
        <w:t xml:space="preserve">RATION PORTANT INSTAURATION </w:t>
      </w:r>
    </w:p>
    <w:p w:rsidR="001C379C" w:rsidRPr="00F153D4" w:rsidRDefault="001C379C" w:rsidP="001C379C">
      <w:pPr>
        <w:spacing w:before="0" w:after="0" w:line="259" w:lineRule="auto"/>
        <w:contextualSpacing w:val="0"/>
        <w:jc w:val="center"/>
        <w:rPr>
          <w:rFonts w:ascii="Verdana" w:eastAsia="Calibri" w:hAnsi="Verdana" w:cs="Times New Roman"/>
          <w:b/>
          <w:sz w:val="28"/>
        </w:rPr>
      </w:pPr>
      <w:r w:rsidRPr="00F153D4">
        <w:rPr>
          <w:rFonts w:ascii="Verdana" w:eastAsia="Calibri" w:hAnsi="Verdana" w:cs="Times New Roman"/>
          <w:b/>
          <w:sz w:val="28"/>
        </w:rPr>
        <w:t>D’UNE PRIME DE POUVOIR D’ACHAT EXCEPTIONNELLE</w:t>
      </w:r>
    </w:p>
    <w:p w:rsidR="001C379C" w:rsidRDefault="001C379C" w:rsidP="001C379C">
      <w:pPr>
        <w:pStyle w:val="VuConsidrant"/>
        <w:tabs>
          <w:tab w:val="left" w:pos="426"/>
        </w:tabs>
        <w:spacing w:after="0" w:line="288" w:lineRule="auto"/>
      </w:pPr>
    </w:p>
    <w:p w:rsidR="001C379C" w:rsidRPr="001C379C" w:rsidRDefault="001C379C" w:rsidP="001C379C">
      <w:pPr>
        <w:pStyle w:val="VuConsidrant"/>
        <w:tabs>
          <w:tab w:val="left" w:pos="426"/>
        </w:tabs>
        <w:spacing w:after="0" w:line="288" w:lineRule="auto"/>
      </w:pPr>
      <w:r w:rsidRPr="001C379C">
        <w:t>Le ... (</w:t>
      </w:r>
      <w:r w:rsidRPr="001C379C">
        <w:rPr>
          <w:i/>
        </w:rPr>
        <w:t>date</w:t>
      </w:r>
      <w:r w:rsidRPr="001C379C">
        <w:t>), à ... (</w:t>
      </w:r>
      <w:r w:rsidRPr="001C379C">
        <w:rPr>
          <w:i/>
        </w:rPr>
        <w:t>heur</w:t>
      </w:r>
      <w:bookmarkStart w:id="0" w:name="_GoBack"/>
      <w:bookmarkEnd w:id="0"/>
      <w:r w:rsidRPr="001C379C">
        <w:rPr>
          <w:i/>
        </w:rPr>
        <w:t>e</w:t>
      </w:r>
      <w:r w:rsidRPr="001C379C">
        <w:t>), en ... (</w:t>
      </w:r>
      <w:r w:rsidRPr="001C379C">
        <w:rPr>
          <w:i/>
        </w:rPr>
        <w:t>lieu</w:t>
      </w:r>
      <w:r w:rsidRPr="001C379C">
        <w:t>) se sont réunis les membres du Conseil ………… (</w:t>
      </w:r>
      <w:r w:rsidRPr="001C379C">
        <w:rPr>
          <w:i/>
        </w:rPr>
        <w:t>municipal ou autre assemblée</w:t>
      </w:r>
      <w:r w:rsidRPr="001C379C">
        <w:t>), sous la présidence de ..., convoqués le …,</w:t>
      </w:r>
    </w:p>
    <w:p w:rsidR="001C379C" w:rsidRPr="001C379C" w:rsidRDefault="001C379C" w:rsidP="001C379C">
      <w:pPr>
        <w:pStyle w:val="VuConsidrant"/>
        <w:tabs>
          <w:tab w:val="left" w:pos="426"/>
        </w:tabs>
        <w:spacing w:after="0" w:line="288" w:lineRule="auto"/>
      </w:pPr>
    </w:p>
    <w:p w:rsidR="001C379C" w:rsidRPr="001C379C" w:rsidRDefault="001C379C" w:rsidP="001C379C">
      <w:pPr>
        <w:pStyle w:val="VuConsidrant"/>
        <w:tabs>
          <w:tab w:val="left" w:pos="426"/>
        </w:tabs>
        <w:spacing w:after="0" w:line="288" w:lineRule="auto"/>
      </w:pPr>
      <w:r w:rsidRPr="001C379C">
        <w:t xml:space="preserve">Etaient présents : </w:t>
      </w:r>
      <w:r w:rsidRPr="001C379C">
        <w:tab/>
      </w:r>
    </w:p>
    <w:p w:rsidR="001C379C" w:rsidRPr="001C379C" w:rsidRDefault="001C379C" w:rsidP="001C379C">
      <w:pPr>
        <w:pStyle w:val="VuConsidrant"/>
        <w:tabs>
          <w:tab w:val="left" w:pos="426"/>
        </w:tabs>
        <w:spacing w:after="0" w:line="288" w:lineRule="auto"/>
      </w:pPr>
      <w:r w:rsidRPr="001C379C">
        <w:t xml:space="preserve">Etaient absent(s) excusé(s) : </w:t>
      </w:r>
      <w:r w:rsidRPr="001C379C">
        <w:tab/>
      </w:r>
    </w:p>
    <w:p w:rsidR="001C379C" w:rsidRPr="001C379C" w:rsidRDefault="001C379C" w:rsidP="001C379C">
      <w:pPr>
        <w:pStyle w:val="VuConsidrant"/>
        <w:tabs>
          <w:tab w:val="left" w:pos="426"/>
        </w:tabs>
        <w:spacing w:after="0" w:line="288" w:lineRule="auto"/>
      </w:pPr>
      <w:r w:rsidRPr="001C379C">
        <w:t xml:space="preserve">Le secrétariat a été assuré par : </w:t>
      </w:r>
      <w:r w:rsidRPr="001C379C">
        <w:tab/>
      </w:r>
    </w:p>
    <w:p w:rsidR="001C379C" w:rsidRPr="001C379C" w:rsidRDefault="001C379C" w:rsidP="001C379C">
      <w:pPr>
        <w:pStyle w:val="VuConsidrant"/>
        <w:tabs>
          <w:tab w:val="left" w:pos="426"/>
        </w:tabs>
        <w:spacing w:after="0" w:line="288" w:lineRule="auto"/>
      </w:pPr>
    </w:p>
    <w:p w:rsidR="001C379C" w:rsidRPr="001C379C" w:rsidRDefault="001C379C" w:rsidP="001C379C">
      <w:pPr>
        <w:pStyle w:val="VuConsidrant"/>
        <w:tabs>
          <w:tab w:val="left" w:pos="426"/>
        </w:tabs>
        <w:spacing w:after="0" w:line="288" w:lineRule="auto"/>
        <w:rPr>
          <w:b/>
          <w:u w:val="single"/>
        </w:rPr>
      </w:pPr>
      <w:r w:rsidRPr="001C379C">
        <w:rPr>
          <w:b/>
          <w:u w:val="single"/>
        </w:rPr>
        <w:t>Objet : Instauration d’une prime de pouvoir d’achat exceptionnelle</w:t>
      </w:r>
    </w:p>
    <w:p w:rsidR="001C379C" w:rsidRPr="001C379C" w:rsidRDefault="001C379C" w:rsidP="001C379C">
      <w:pPr>
        <w:pStyle w:val="VuConsidrant"/>
        <w:tabs>
          <w:tab w:val="left" w:pos="426"/>
        </w:tabs>
        <w:spacing w:after="0" w:line="288" w:lineRule="auto"/>
      </w:pPr>
    </w:p>
    <w:p w:rsidR="001C379C" w:rsidRPr="001C379C" w:rsidRDefault="001C379C" w:rsidP="001C379C">
      <w:pPr>
        <w:pStyle w:val="VuConsidrant"/>
        <w:tabs>
          <w:tab w:val="left" w:pos="426"/>
        </w:tabs>
        <w:spacing w:after="0" w:line="288" w:lineRule="auto"/>
      </w:pPr>
      <w:r w:rsidRPr="001C379C">
        <w:t>Le Conseil Municipal (</w:t>
      </w:r>
      <w:r w:rsidRPr="001C379C">
        <w:rPr>
          <w:i/>
        </w:rPr>
        <w:t>ou d’Administration ou autre assemblée</w:t>
      </w:r>
      <w:r w:rsidRPr="001C379C">
        <w:t>),</w:t>
      </w:r>
    </w:p>
    <w:p w:rsidR="001C379C" w:rsidRPr="001C379C" w:rsidRDefault="001C379C" w:rsidP="001C379C">
      <w:pPr>
        <w:pStyle w:val="VuConsidrant"/>
        <w:tabs>
          <w:tab w:val="left" w:pos="426"/>
        </w:tabs>
        <w:spacing w:after="0" w:line="288" w:lineRule="auto"/>
      </w:pPr>
    </w:p>
    <w:p w:rsidR="001C379C" w:rsidRPr="001C379C" w:rsidRDefault="001C379C" w:rsidP="001C379C">
      <w:pPr>
        <w:pStyle w:val="VuConsidrant"/>
        <w:tabs>
          <w:tab w:val="left" w:pos="426"/>
        </w:tabs>
        <w:spacing w:after="0" w:line="288" w:lineRule="auto"/>
        <w:rPr>
          <w:b/>
        </w:rPr>
      </w:pPr>
      <w:r w:rsidRPr="001C379C">
        <w:rPr>
          <w:b/>
        </w:rPr>
        <w:t>Sur rapport de Monsieur le Maire/de Madame le Maire (</w:t>
      </w:r>
      <w:r w:rsidRPr="001C379C">
        <w:rPr>
          <w:b/>
          <w:i/>
        </w:rPr>
        <w:t>ou le Président/la Présidente</w:t>
      </w:r>
      <w:r w:rsidRPr="001C379C">
        <w:rPr>
          <w:b/>
        </w:rPr>
        <w:t xml:space="preserve">), </w:t>
      </w:r>
    </w:p>
    <w:p w:rsidR="001C379C" w:rsidRPr="001C379C" w:rsidRDefault="001C379C" w:rsidP="001C379C">
      <w:pPr>
        <w:pStyle w:val="VuConsidrant"/>
        <w:tabs>
          <w:tab w:val="left" w:pos="426"/>
        </w:tabs>
        <w:spacing w:after="0"/>
      </w:pPr>
    </w:p>
    <w:p w:rsidR="001C379C" w:rsidRPr="001C379C" w:rsidRDefault="001C379C" w:rsidP="001C379C">
      <w:pPr>
        <w:pStyle w:val="PuceVU"/>
        <w:numPr>
          <w:ilvl w:val="0"/>
          <w:numId w:val="0"/>
        </w:numPr>
        <w:tabs>
          <w:tab w:val="left" w:pos="426"/>
          <w:tab w:val="left" w:pos="709"/>
        </w:tabs>
        <w:spacing w:after="120"/>
        <w:ind w:left="425" w:hanging="425"/>
        <w:rPr>
          <w:rFonts w:ascii="Arial" w:hAnsi="Arial" w:cs="Arial"/>
          <w:color w:val="auto"/>
          <w:sz w:val="20"/>
        </w:rPr>
      </w:pPr>
      <w:r w:rsidRPr="001C379C">
        <w:rPr>
          <w:rFonts w:ascii="Arial" w:hAnsi="Arial" w:cs="Arial"/>
          <w:b/>
          <w:color w:val="auto"/>
          <w:sz w:val="20"/>
        </w:rPr>
        <w:t>VU</w:t>
      </w:r>
      <w:r w:rsidRPr="001C379C">
        <w:rPr>
          <w:rFonts w:ascii="Arial" w:hAnsi="Arial" w:cs="Arial"/>
          <w:b/>
          <w:bCs/>
          <w:color w:val="auto"/>
          <w:sz w:val="20"/>
        </w:rPr>
        <w:tab/>
      </w:r>
      <w:r w:rsidRPr="001C379C">
        <w:rPr>
          <w:rFonts w:ascii="Arial" w:hAnsi="Arial" w:cs="Arial"/>
          <w:color w:val="auto"/>
          <w:sz w:val="20"/>
        </w:rPr>
        <w:t>le code général des collectivités territoriales,</w:t>
      </w:r>
    </w:p>
    <w:p w:rsidR="001C379C" w:rsidRPr="001C379C" w:rsidRDefault="001C379C" w:rsidP="001C379C">
      <w:pPr>
        <w:pStyle w:val="PuceVU"/>
        <w:numPr>
          <w:ilvl w:val="0"/>
          <w:numId w:val="0"/>
        </w:numPr>
        <w:tabs>
          <w:tab w:val="left" w:pos="426"/>
          <w:tab w:val="left" w:pos="709"/>
        </w:tabs>
        <w:spacing w:after="120"/>
        <w:ind w:left="425" w:hanging="425"/>
        <w:rPr>
          <w:rFonts w:ascii="Arial" w:hAnsi="Arial" w:cs="Arial"/>
          <w:b/>
          <w:color w:val="auto"/>
          <w:sz w:val="20"/>
        </w:rPr>
      </w:pPr>
      <w:r w:rsidRPr="001C379C">
        <w:rPr>
          <w:rFonts w:ascii="Arial" w:hAnsi="Arial" w:cs="Arial"/>
          <w:b/>
          <w:color w:val="auto"/>
          <w:sz w:val="20"/>
        </w:rPr>
        <w:t>VU</w:t>
      </w:r>
      <w:r w:rsidRPr="001C379C">
        <w:rPr>
          <w:rFonts w:ascii="Arial" w:hAnsi="Arial" w:cs="Arial"/>
          <w:b/>
          <w:color w:val="auto"/>
          <w:sz w:val="20"/>
        </w:rPr>
        <w:tab/>
      </w:r>
      <w:r w:rsidRPr="001C379C">
        <w:rPr>
          <w:rFonts w:ascii="Arial" w:hAnsi="Arial" w:cs="Arial"/>
          <w:color w:val="auto"/>
          <w:sz w:val="20"/>
        </w:rPr>
        <w:t xml:space="preserve">le code général de la fonction publique, </w:t>
      </w:r>
    </w:p>
    <w:p w:rsidR="001C379C" w:rsidRPr="001C379C" w:rsidRDefault="001C379C" w:rsidP="001C379C">
      <w:pPr>
        <w:pStyle w:val="PuceVU"/>
        <w:numPr>
          <w:ilvl w:val="0"/>
          <w:numId w:val="0"/>
        </w:numPr>
        <w:tabs>
          <w:tab w:val="left" w:pos="426"/>
          <w:tab w:val="left" w:pos="709"/>
        </w:tabs>
        <w:spacing w:after="120"/>
        <w:ind w:left="425" w:hanging="425"/>
        <w:rPr>
          <w:rFonts w:ascii="Arial" w:hAnsi="Arial" w:cs="Arial"/>
          <w:color w:val="auto"/>
          <w:sz w:val="20"/>
        </w:rPr>
      </w:pPr>
      <w:r w:rsidRPr="001C379C">
        <w:rPr>
          <w:rFonts w:ascii="Arial" w:hAnsi="Arial" w:cs="Arial"/>
          <w:b/>
          <w:color w:val="auto"/>
          <w:sz w:val="20"/>
        </w:rPr>
        <w:t>VU</w:t>
      </w:r>
      <w:r w:rsidRPr="001C379C">
        <w:rPr>
          <w:rFonts w:ascii="Arial" w:hAnsi="Arial" w:cs="Arial"/>
          <w:b/>
          <w:color w:val="auto"/>
          <w:sz w:val="20"/>
        </w:rPr>
        <w:tab/>
      </w:r>
      <w:r w:rsidRPr="001C379C">
        <w:rPr>
          <w:rFonts w:ascii="Arial" w:hAnsi="Arial" w:cs="Arial"/>
          <w:color w:val="auto"/>
          <w:sz w:val="20"/>
        </w:rPr>
        <w:t>le décret n°2023-1006 du 31 octobre 2023 portant création d’une prime de pouvoir d’achat exceptionnelle pour certains agents publics de la fonction publique territoriale,</w:t>
      </w:r>
    </w:p>
    <w:p w:rsidR="001C379C" w:rsidRPr="001C379C" w:rsidRDefault="001C379C" w:rsidP="001C379C">
      <w:pPr>
        <w:pStyle w:val="PuceVU"/>
        <w:numPr>
          <w:ilvl w:val="0"/>
          <w:numId w:val="0"/>
        </w:numPr>
        <w:tabs>
          <w:tab w:val="left" w:pos="426"/>
          <w:tab w:val="left" w:pos="709"/>
        </w:tabs>
        <w:spacing w:after="120"/>
        <w:ind w:left="425" w:hanging="425"/>
        <w:rPr>
          <w:rFonts w:ascii="Arial" w:hAnsi="Arial" w:cs="Arial"/>
          <w:color w:val="auto"/>
          <w:sz w:val="20"/>
        </w:rPr>
      </w:pPr>
      <w:r w:rsidRPr="001C379C">
        <w:rPr>
          <w:rFonts w:ascii="Arial" w:hAnsi="Arial" w:cs="Arial"/>
          <w:b/>
          <w:bCs/>
          <w:color w:val="auto"/>
          <w:sz w:val="20"/>
        </w:rPr>
        <w:t>VU</w:t>
      </w:r>
      <w:r w:rsidRPr="001C379C">
        <w:rPr>
          <w:rFonts w:ascii="Arial" w:hAnsi="Arial" w:cs="Arial"/>
          <w:bCs/>
          <w:color w:val="auto"/>
          <w:sz w:val="20"/>
        </w:rPr>
        <w:tab/>
        <w:t xml:space="preserve">l’avis du comité social territorial en date du ……, </w:t>
      </w:r>
    </w:p>
    <w:p w:rsidR="001C379C" w:rsidRPr="001C379C" w:rsidRDefault="001C379C" w:rsidP="001C379C">
      <w:pPr>
        <w:pStyle w:val="VuConsidrant"/>
        <w:tabs>
          <w:tab w:val="left" w:pos="0"/>
        </w:tabs>
        <w:spacing w:after="0" w:line="288" w:lineRule="auto"/>
        <w:rPr>
          <w:rStyle w:val="lev"/>
          <w:color w:val="auto"/>
        </w:rPr>
      </w:pPr>
    </w:p>
    <w:p w:rsidR="001C379C" w:rsidRPr="001C379C" w:rsidRDefault="001C379C" w:rsidP="001C379C">
      <w:pPr>
        <w:pStyle w:val="VuConsidrant"/>
        <w:tabs>
          <w:tab w:val="left" w:pos="0"/>
        </w:tabs>
        <w:spacing w:after="0" w:line="288" w:lineRule="auto"/>
        <w:rPr>
          <w:rStyle w:val="lev"/>
          <w:b w:val="0"/>
          <w:color w:val="auto"/>
        </w:rPr>
      </w:pPr>
      <w:r w:rsidRPr="001C379C">
        <w:rPr>
          <w:b/>
        </w:rPr>
        <w:t>Monsieur le Maire/ Madame le Maire (</w:t>
      </w:r>
      <w:r w:rsidRPr="001C379C">
        <w:rPr>
          <w:b/>
          <w:i/>
        </w:rPr>
        <w:t>ou le Président /la Présidente</w:t>
      </w:r>
      <w:r w:rsidRPr="001C379C">
        <w:rPr>
          <w:b/>
        </w:rPr>
        <w:t xml:space="preserve">) de </w:t>
      </w:r>
      <w:proofErr w:type="gramStart"/>
      <w:r w:rsidRPr="001C379C">
        <w:rPr>
          <w:b/>
        </w:rPr>
        <w:t>…….</w:t>
      </w:r>
      <w:proofErr w:type="gramEnd"/>
      <w:r w:rsidRPr="001C379C">
        <w:rPr>
          <w:b/>
        </w:rPr>
        <w:t xml:space="preserve">. </w:t>
      </w:r>
      <w:proofErr w:type="gramStart"/>
      <w:r w:rsidRPr="001C379C">
        <w:rPr>
          <w:b/>
        </w:rPr>
        <w:t>rappelle</w:t>
      </w:r>
      <w:proofErr w:type="gramEnd"/>
      <w:r w:rsidRPr="001C379C">
        <w:rPr>
          <w:b/>
        </w:rPr>
        <w:t xml:space="preserve"> à l’assemblée : </w:t>
      </w:r>
    </w:p>
    <w:p w:rsidR="001C379C" w:rsidRPr="001C379C" w:rsidRDefault="001C379C" w:rsidP="001C379C">
      <w:pPr>
        <w:pStyle w:val="VuConsidrant"/>
        <w:tabs>
          <w:tab w:val="left" w:pos="0"/>
        </w:tabs>
        <w:spacing w:after="0" w:line="288" w:lineRule="auto"/>
        <w:rPr>
          <w:rStyle w:val="lev"/>
          <w:b w:val="0"/>
          <w:color w:val="auto"/>
        </w:rPr>
      </w:pPr>
    </w:p>
    <w:p w:rsidR="001C379C" w:rsidRPr="00021425" w:rsidRDefault="001C379C" w:rsidP="001C379C">
      <w:pPr>
        <w:pStyle w:val="VuConsidrant"/>
        <w:tabs>
          <w:tab w:val="left" w:pos="0"/>
        </w:tabs>
        <w:spacing w:after="0" w:line="288" w:lineRule="auto"/>
        <w:rPr>
          <w:rStyle w:val="lev"/>
          <w:b w:val="0"/>
          <w:color w:val="auto"/>
        </w:rPr>
      </w:pPr>
      <w:r w:rsidRPr="00021425">
        <w:rPr>
          <w:rStyle w:val="lev"/>
          <w:b w:val="0"/>
          <w:color w:val="auto"/>
        </w:rPr>
        <w:t>En application du décret n°2023-1006 du 31 octobre 2023, le Conseil municipal (</w:t>
      </w:r>
      <w:r w:rsidRPr="00021425">
        <w:rPr>
          <w:rStyle w:val="lev"/>
          <w:b w:val="0"/>
          <w:i/>
          <w:color w:val="auto"/>
        </w:rPr>
        <w:t>ou autre assemblée</w:t>
      </w:r>
      <w:r w:rsidRPr="00021425">
        <w:rPr>
          <w:rStyle w:val="lev"/>
          <w:b w:val="0"/>
          <w:color w:val="auto"/>
        </w:rPr>
        <w:t>) peut instaurer par délibération la prime de pouvoir d’achat exceptionnelle, applicable à certains agents publics territoriaux.</w:t>
      </w:r>
    </w:p>
    <w:p w:rsidR="001C379C" w:rsidRPr="00021425" w:rsidRDefault="001C379C" w:rsidP="001C379C">
      <w:pPr>
        <w:pStyle w:val="VuConsidrant"/>
        <w:tabs>
          <w:tab w:val="left" w:pos="0"/>
        </w:tabs>
        <w:spacing w:after="0" w:line="288" w:lineRule="auto"/>
        <w:rPr>
          <w:rStyle w:val="lev"/>
          <w:b w:val="0"/>
          <w:color w:val="auto"/>
        </w:rPr>
      </w:pPr>
    </w:p>
    <w:p w:rsidR="001C379C" w:rsidRPr="00021425" w:rsidRDefault="001C379C" w:rsidP="001C379C">
      <w:pPr>
        <w:pStyle w:val="VuConsidrant"/>
        <w:tabs>
          <w:tab w:val="left" w:pos="0"/>
        </w:tabs>
        <w:spacing w:after="0" w:line="288" w:lineRule="auto"/>
        <w:rPr>
          <w:rStyle w:val="lev"/>
          <w:b w:val="0"/>
          <w:color w:val="auto"/>
        </w:rPr>
      </w:pPr>
      <w:r w:rsidRPr="00021425">
        <w:rPr>
          <w:rStyle w:val="lev"/>
          <w:b w:val="0"/>
          <w:color w:val="auto"/>
        </w:rPr>
        <w:t xml:space="preserve">L’objet de cette prime est de soutenir le pouvoir d’achat des agents publics compte tenu du contexte d’inflation. </w:t>
      </w:r>
    </w:p>
    <w:p w:rsidR="001C379C" w:rsidRPr="00021425" w:rsidRDefault="001C379C" w:rsidP="001C379C">
      <w:pPr>
        <w:pStyle w:val="VuConsidrant"/>
        <w:tabs>
          <w:tab w:val="left" w:pos="0"/>
        </w:tabs>
        <w:spacing w:after="0" w:line="288" w:lineRule="auto"/>
        <w:rPr>
          <w:rStyle w:val="lev"/>
          <w:b w:val="0"/>
          <w:color w:val="auto"/>
        </w:rPr>
      </w:pPr>
      <w:r w:rsidRPr="00021425">
        <w:rPr>
          <w:rStyle w:val="lev"/>
          <w:b w:val="0"/>
          <w:color w:val="auto"/>
        </w:rPr>
        <w:t>Elle peut être versée aux fonctionnaires, aux agents contractuels de droit public et aux assistants maternels et familiaux qui remplissent les conditions cumulatives suivantes :</w:t>
      </w:r>
    </w:p>
    <w:p w:rsidR="001C379C" w:rsidRPr="00021425" w:rsidRDefault="001C379C" w:rsidP="00021425">
      <w:pPr>
        <w:pStyle w:val="VuConsidrant"/>
        <w:numPr>
          <w:ilvl w:val="0"/>
          <w:numId w:val="16"/>
        </w:numPr>
        <w:tabs>
          <w:tab w:val="left" w:pos="0"/>
        </w:tabs>
        <w:spacing w:after="0" w:line="288" w:lineRule="auto"/>
        <w:rPr>
          <w:rStyle w:val="lev"/>
          <w:b w:val="0"/>
          <w:bCs w:val="0"/>
          <w:color w:val="auto"/>
        </w:rPr>
      </w:pPr>
      <w:r w:rsidRPr="00021425">
        <w:rPr>
          <w:rStyle w:val="lev"/>
          <w:b w:val="0"/>
          <w:color w:val="auto"/>
        </w:rPr>
        <w:t>Avoir été nommés ou recrutés par une collectivité territoriale, un établissement public territorial ou un groupement d’intérêt public avant le 1</w:t>
      </w:r>
      <w:r w:rsidRPr="00021425">
        <w:rPr>
          <w:rStyle w:val="lev"/>
          <w:b w:val="0"/>
          <w:color w:val="auto"/>
          <w:vertAlign w:val="superscript"/>
        </w:rPr>
        <w:t>er</w:t>
      </w:r>
      <w:r w:rsidRPr="00021425">
        <w:rPr>
          <w:rStyle w:val="lev"/>
          <w:b w:val="0"/>
          <w:color w:val="auto"/>
        </w:rPr>
        <w:t xml:space="preserve"> janvier 2023, </w:t>
      </w:r>
    </w:p>
    <w:p w:rsidR="001C379C" w:rsidRPr="00021425" w:rsidRDefault="001C379C" w:rsidP="00021425">
      <w:pPr>
        <w:pStyle w:val="VuConsidrant"/>
        <w:numPr>
          <w:ilvl w:val="0"/>
          <w:numId w:val="16"/>
        </w:numPr>
        <w:tabs>
          <w:tab w:val="left" w:pos="0"/>
        </w:tabs>
        <w:spacing w:after="0" w:line="288" w:lineRule="auto"/>
        <w:rPr>
          <w:rStyle w:val="lev"/>
          <w:b w:val="0"/>
          <w:bCs w:val="0"/>
          <w:color w:val="auto"/>
        </w:rPr>
      </w:pPr>
      <w:r w:rsidRPr="00021425">
        <w:rPr>
          <w:rStyle w:val="lev"/>
          <w:b w:val="0"/>
          <w:color w:val="auto"/>
        </w:rPr>
        <w:t>Etre employés et rémunérés par l’une de ces structures au 30 juin 2023,</w:t>
      </w:r>
    </w:p>
    <w:p w:rsidR="001C379C" w:rsidRPr="00021425" w:rsidRDefault="001C379C" w:rsidP="00021425">
      <w:pPr>
        <w:pStyle w:val="VuConsidrant"/>
        <w:numPr>
          <w:ilvl w:val="0"/>
          <w:numId w:val="16"/>
        </w:numPr>
        <w:tabs>
          <w:tab w:val="left" w:pos="0"/>
        </w:tabs>
        <w:spacing w:after="0" w:line="288" w:lineRule="auto"/>
        <w:rPr>
          <w:rStyle w:val="lev"/>
          <w:b w:val="0"/>
          <w:bCs w:val="0"/>
          <w:color w:val="auto"/>
        </w:rPr>
      </w:pPr>
      <w:r w:rsidRPr="00021425">
        <w:rPr>
          <w:rStyle w:val="lev"/>
          <w:b w:val="0"/>
          <w:color w:val="auto"/>
        </w:rPr>
        <w:t>Avoir perçu une rémunération brute inférieure ou égale à 39 000 euros au titre de la période courant du 1</w:t>
      </w:r>
      <w:r w:rsidRPr="00021425">
        <w:rPr>
          <w:rStyle w:val="lev"/>
          <w:b w:val="0"/>
          <w:color w:val="auto"/>
          <w:vertAlign w:val="superscript"/>
        </w:rPr>
        <w:t>er</w:t>
      </w:r>
      <w:r w:rsidRPr="00021425">
        <w:rPr>
          <w:rStyle w:val="lev"/>
          <w:b w:val="0"/>
          <w:color w:val="auto"/>
        </w:rPr>
        <w:t xml:space="preserve"> juillet 2022 au 30 juin 2023, déduction faite de la GIPA (Garantie Individuelle du Pouvoir d’Achat) et de la rémunération perçue au titre des heures supplémentaires effectuées et du temps additionnel de travail, dans la limite du plafond d’exonération.</w:t>
      </w:r>
    </w:p>
    <w:p w:rsidR="001C379C" w:rsidRPr="00021425" w:rsidRDefault="001C379C" w:rsidP="001C379C">
      <w:pPr>
        <w:pStyle w:val="VuConsidrant"/>
        <w:tabs>
          <w:tab w:val="left" w:pos="0"/>
        </w:tabs>
        <w:spacing w:after="0" w:line="288" w:lineRule="auto"/>
        <w:rPr>
          <w:rStyle w:val="lev"/>
          <w:b w:val="0"/>
          <w:color w:val="auto"/>
        </w:rPr>
      </w:pPr>
    </w:p>
    <w:p w:rsidR="001C379C" w:rsidRPr="00021425" w:rsidRDefault="001C379C" w:rsidP="001C379C">
      <w:pPr>
        <w:pStyle w:val="VuConsidrant"/>
        <w:tabs>
          <w:tab w:val="left" w:pos="0"/>
        </w:tabs>
        <w:spacing w:after="0" w:line="288" w:lineRule="auto"/>
        <w:rPr>
          <w:rStyle w:val="lev"/>
          <w:b w:val="0"/>
          <w:color w:val="auto"/>
        </w:rPr>
      </w:pPr>
      <w:r w:rsidRPr="00021425">
        <w:rPr>
          <w:rStyle w:val="lev"/>
          <w:b w:val="0"/>
          <w:color w:val="auto"/>
        </w:rPr>
        <w:t>La prime est versée par :</w:t>
      </w:r>
    </w:p>
    <w:p w:rsidR="001C379C" w:rsidRPr="00021425" w:rsidRDefault="001C379C" w:rsidP="00021425">
      <w:pPr>
        <w:pStyle w:val="VuConsidrant"/>
        <w:numPr>
          <w:ilvl w:val="0"/>
          <w:numId w:val="16"/>
        </w:numPr>
        <w:tabs>
          <w:tab w:val="left" w:pos="0"/>
        </w:tabs>
        <w:spacing w:after="0" w:line="288" w:lineRule="auto"/>
        <w:rPr>
          <w:rStyle w:val="lev"/>
          <w:b w:val="0"/>
          <w:color w:val="auto"/>
        </w:rPr>
      </w:pPr>
      <w:proofErr w:type="gramStart"/>
      <w:r w:rsidRPr="00021425">
        <w:rPr>
          <w:rStyle w:val="lev"/>
          <w:b w:val="0"/>
          <w:color w:val="auto"/>
        </w:rPr>
        <w:t>la</w:t>
      </w:r>
      <w:proofErr w:type="gramEnd"/>
      <w:r w:rsidRPr="00021425">
        <w:rPr>
          <w:rStyle w:val="lev"/>
          <w:b w:val="0"/>
          <w:color w:val="auto"/>
        </w:rPr>
        <w:t xml:space="preserve"> collectivité territoriale, l’établissement public ou le groupement d’intérêt public (GIP) qui emploie et rémunère l’agent au 30 juin 2023.</w:t>
      </w:r>
    </w:p>
    <w:p w:rsidR="001C379C" w:rsidRPr="00021425" w:rsidRDefault="001C379C" w:rsidP="00021425">
      <w:pPr>
        <w:pStyle w:val="VuConsidrant"/>
        <w:numPr>
          <w:ilvl w:val="0"/>
          <w:numId w:val="16"/>
        </w:numPr>
        <w:tabs>
          <w:tab w:val="left" w:pos="0"/>
        </w:tabs>
        <w:spacing w:after="0" w:line="288" w:lineRule="auto"/>
        <w:rPr>
          <w:rStyle w:val="lev"/>
          <w:color w:val="auto"/>
        </w:rPr>
      </w:pPr>
      <w:r w:rsidRPr="00021425">
        <w:rPr>
          <w:rStyle w:val="lev"/>
          <w:b w:val="0"/>
          <w:color w:val="auto"/>
        </w:rPr>
        <w:t>Ou par chaque collectivité territoriale, établissement public ou GIP lorsque plusieurs employeurs publics emploient et rémunèrent l’agent au 30 juin 2023.</w:t>
      </w:r>
    </w:p>
    <w:p w:rsidR="001C379C" w:rsidRPr="001C379C" w:rsidRDefault="001C379C" w:rsidP="001C379C">
      <w:pPr>
        <w:pStyle w:val="VuConsidrant"/>
        <w:tabs>
          <w:tab w:val="left" w:pos="0"/>
        </w:tabs>
        <w:spacing w:after="0" w:line="288" w:lineRule="auto"/>
      </w:pPr>
    </w:p>
    <w:p w:rsidR="00674144" w:rsidRDefault="00674144" w:rsidP="001C379C">
      <w:pPr>
        <w:pStyle w:val="VuConsidrant"/>
        <w:tabs>
          <w:tab w:val="left" w:pos="0"/>
        </w:tabs>
        <w:spacing w:after="0" w:line="288" w:lineRule="auto"/>
        <w:rPr>
          <w:bCs/>
        </w:rPr>
      </w:pPr>
    </w:p>
    <w:p w:rsidR="00674144" w:rsidRDefault="00674144" w:rsidP="001C379C">
      <w:pPr>
        <w:pStyle w:val="VuConsidrant"/>
        <w:tabs>
          <w:tab w:val="left" w:pos="0"/>
        </w:tabs>
        <w:spacing w:after="0" w:line="288" w:lineRule="auto"/>
        <w:rPr>
          <w:bCs/>
        </w:rPr>
      </w:pPr>
    </w:p>
    <w:p w:rsidR="001C379C" w:rsidRPr="001C379C" w:rsidRDefault="001C379C" w:rsidP="001C379C">
      <w:pPr>
        <w:pStyle w:val="VuConsidrant"/>
        <w:tabs>
          <w:tab w:val="left" w:pos="0"/>
        </w:tabs>
        <w:spacing w:after="0" w:line="288" w:lineRule="auto"/>
        <w:rPr>
          <w:bCs/>
        </w:rPr>
      </w:pPr>
      <w:r w:rsidRPr="001C379C">
        <w:rPr>
          <w:bCs/>
        </w:rPr>
        <w:lastRenderedPageBreak/>
        <w:t>Il appartient à l’organe délibérant de déterminer le montant de la prime, dans la limite du plafond prévu pour chaque niveau de rémunération défini par le décret. Il est proposé à l’assemblée de déterminer les montants forfaitaires suivants :</w:t>
      </w:r>
    </w:p>
    <w:p w:rsidR="001C379C" w:rsidRPr="001C379C" w:rsidRDefault="001C379C" w:rsidP="001C379C">
      <w:pPr>
        <w:pStyle w:val="VuConsidrant"/>
        <w:tabs>
          <w:tab w:val="left" w:pos="0"/>
        </w:tabs>
        <w:spacing w:after="0" w:line="288" w:lineRule="auto"/>
      </w:pPr>
    </w:p>
    <w:tbl>
      <w:tblPr>
        <w:tblStyle w:val="Grilledetableauclaire"/>
        <w:tblW w:w="0" w:type="auto"/>
        <w:tblLook w:val="04A0" w:firstRow="1" w:lastRow="0" w:firstColumn="1" w:lastColumn="0" w:noHBand="0" w:noVBand="1"/>
      </w:tblPr>
      <w:tblGrid>
        <w:gridCol w:w="4812"/>
        <w:gridCol w:w="4816"/>
      </w:tblGrid>
      <w:tr w:rsidR="001C379C" w:rsidRPr="001C379C" w:rsidTr="00497A1C">
        <w:trPr>
          <w:trHeight w:val="510"/>
        </w:trPr>
        <w:tc>
          <w:tcPr>
            <w:tcW w:w="5169" w:type="dxa"/>
          </w:tcPr>
          <w:p w:rsidR="001C379C" w:rsidRPr="001C379C" w:rsidRDefault="001C379C" w:rsidP="00497A1C">
            <w:pPr>
              <w:jc w:val="center"/>
              <w:rPr>
                <w:rFonts w:ascii="Arial" w:hAnsi="Arial" w:cs="Arial"/>
                <w:b/>
                <w:szCs w:val="20"/>
              </w:rPr>
            </w:pPr>
            <w:r w:rsidRPr="001C379C">
              <w:rPr>
                <w:rFonts w:ascii="Arial" w:hAnsi="Arial" w:cs="Arial"/>
                <w:b/>
                <w:szCs w:val="20"/>
              </w:rPr>
              <w:t>Rémunération brute perçue au titre de la période courant du 1</w:t>
            </w:r>
            <w:r w:rsidRPr="001C379C">
              <w:rPr>
                <w:rFonts w:ascii="Arial" w:hAnsi="Arial" w:cs="Arial"/>
                <w:b/>
                <w:szCs w:val="20"/>
                <w:vertAlign w:val="superscript"/>
              </w:rPr>
              <w:t>er</w:t>
            </w:r>
            <w:r w:rsidRPr="001C379C">
              <w:rPr>
                <w:rFonts w:ascii="Arial" w:hAnsi="Arial" w:cs="Arial"/>
                <w:b/>
                <w:szCs w:val="20"/>
              </w:rPr>
              <w:t xml:space="preserve"> juillet 2022 au 30 juin 2023</w:t>
            </w:r>
          </w:p>
        </w:tc>
        <w:tc>
          <w:tcPr>
            <w:tcW w:w="5169" w:type="dxa"/>
          </w:tcPr>
          <w:p w:rsidR="001C379C" w:rsidRPr="001C379C" w:rsidRDefault="001C379C" w:rsidP="00497A1C">
            <w:pPr>
              <w:jc w:val="center"/>
              <w:rPr>
                <w:rFonts w:ascii="Arial" w:hAnsi="Arial" w:cs="Arial"/>
                <w:b/>
                <w:szCs w:val="20"/>
              </w:rPr>
            </w:pPr>
            <w:r w:rsidRPr="001C379C">
              <w:rPr>
                <w:rFonts w:ascii="Arial" w:hAnsi="Arial" w:cs="Arial"/>
                <w:b/>
                <w:szCs w:val="20"/>
              </w:rPr>
              <w:t>Montant de la prime de pouvoir d’achat exceptionnelle</w:t>
            </w:r>
          </w:p>
        </w:tc>
      </w:tr>
      <w:tr w:rsidR="001C379C" w:rsidRPr="001C379C" w:rsidTr="00497A1C">
        <w:trPr>
          <w:trHeight w:val="510"/>
        </w:trPr>
        <w:tc>
          <w:tcPr>
            <w:tcW w:w="5169" w:type="dxa"/>
          </w:tcPr>
          <w:p w:rsidR="001C379C" w:rsidRPr="001C379C" w:rsidRDefault="001C379C" w:rsidP="00497A1C">
            <w:pPr>
              <w:jc w:val="center"/>
              <w:rPr>
                <w:rFonts w:ascii="Arial" w:hAnsi="Arial" w:cs="Arial"/>
                <w:szCs w:val="20"/>
              </w:rPr>
            </w:pPr>
            <w:r w:rsidRPr="001C379C">
              <w:rPr>
                <w:rFonts w:ascii="Arial" w:hAnsi="Arial" w:cs="Arial"/>
                <w:szCs w:val="20"/>
              </w:rPr>
              <w:t>Inférieure ou égale à 23 700 €</w:t>
            </w:r>
          </w:p>
        </w:tc>
        <w:tc>
          <w:tcPr>
            <w:tcW w:w="5169" w:type="dxa"/>
          </w:tcPr>
          <w:p w:rsidR="001C379C" w:rsidRPr="001C379C" w:rsidRDefault="001C379C" w:rsidP="00497A1C">
            <w:pPr>
              <w:jc w:val="center"/>
              <w:rPr>
                <w:rFonts w:ascii="Arial" w:hAnsi="Arial" w:cs="Arial"/>
                <w:szCs w:val="20"/>
              </w:rPr>
            </w:pPr>
            <w:r w:rsidRPr="001C379C">
              <w:rPr>
                <w:rFonts w:ascii="Arial" w:hAnsi="Arial" w:cs="Arial"/>
                <w:szCs w:val="20"/>
              </w:rPr>
              <w:t xml:space="preserve">……. € </w:t>
            </w:r>
            <w:r w:rsidRPr="001C379C">
              <w:rPr>
                <w:rFonts w:ascii="Arial" w:hAnsi="Arial" w:cs="Arial"/>
                <w:i/>
                <w:szCs w:val="20"/>
              </w:rPr>
              <w:t>(maximum 800 €)</w:t>
            </w:r>
          </w:p>
        </w:tc>
      </w:tr>
      <w:tr w:rsidR="001C379C" w:rsidRPr="001C379C" w:rsidTr="00497A1C">
        <w:trPr>
          <w:trHeight w:val="510"/>
        </w:trPr>
        <w:tc>
          <w:tcPr>
            <w:tcW w:w="5169" w:type="dxa"/>
          </w:tcPr>
          <w:p w:rsidR="001C379C" w:rsidRPr="001C379C" w:rsidRDefault="001C379C" w:rsidP="00497A1C">
            <w:pPr>
              <w:jc w:val="center"/>
              <w:rPr>
                <w:rFonts w:ascii="Arial" w:hAnsi="Arial" w:cs="Arial"/>
                <w:szCs w:val="20"/>
              </w:rPr>
            </w:pPr>
            <w:r w:rsidRPr="001C379C">
              <w:rPr>
                <w:rFonts w:ascii="Arial" w:hAnsi="Arial" w:cs="Arial"/>
                <w:szCs w:val="20"/>
              </w:rPr>
              <w:t>Supérieure à 23 700 € et inférieure ou égale à 27 300 €</w:t>
            </w:r>
          </w:p>
        </w:tc>
        <w:tc>
          <w:tcPr>
            <w:tcW w:w="5169" w:type="dxa"/>
          </w:tcPr>
          <w:p w:rsidR="001C379C" w:rsidRPr="001C379C" w:rsidRDefault="001C379C" w:rsidP="00497A1C">
            <w:pPr>
              <w:jc w:val="center"/>
              <w:rPr>
                <w:rFonts w:ascii="Arial" w:hAnsi="Arial" w:cs="Arial"/>
                <w:szCs w:val="20"/>
              </w:rPr>
            </w:pPr>
            <w:r w:rsidRPr="001C379C">
              <w:rPr>
                <w:rFonts w:ascii="Arial" w:hAnsi="Arial" w:cs="Arial"/>
                <w:szCs w:val="20"/>
              </w:rPr>
              <w:t xml:space="preserve">……. € </w:t>
            </w:r>
            <w:r w:rsidRPr="001C379C">
              <w:rPr>
                <w:rFonts w:ascii="Arial" w:hAnsi="Arial" w:cs="Arial"/>
                <w:i/>
                <w:szCs w:val="20"/>
              </w:rPr>
              <w:t>(maximum 700 €)</w:t>
            </w:r>
          </w:p>
        </w:tc>
      </w:tr>
      <w:tr w:rsidR="001C379C" w:rsidRPr="001C379C" w:rsidTr="00497A1C">
        <w:trPr>
          <w:trHeight w:val="510"/>
        </w:trPr>
        <w:tc>
          <w:tcPr>
            <w:tcW w:w="5169" w:type="dxa"/>
          </w:tcPr>
          <w:p w:rsidR="001C379C" w:rsidRPr="001C379C" w:rsidRDefault="001C379C" w:rsidP="00497A1C">
            <w:pPr>
              <w:jc w:val="center"/>
              <w:rPr>
                <w:rFonts w:ascii="Arial" w:hAnsi="Arial" w:cs="Arial"/>
                <w:szCs w:val="20"/>
              </w:rPr>
            </w:pPr>
            <w:r w:rsidRPr="001C379C">
              <w:rPr>
                <w:rFonts w:ascii="Arial" w:hAnsi="Arial" w:cs="Arial"/>
                <w:szCs w:val="20"/>
              </w:rPr>
              <w:t>Supérieure à 27 300 € et inférieure ou égale à 29 160 €</w:t>
            </w:r>
          </w:p>
        </w:tc>
        <w:tc>
          <w:tcPr>
            <w:tcW w:w="5169" w:type="dxa"/>
          </w:tcPr>
          <w:p w:rsidR="001C379C" w:rsidRPr="001C379C" w:rsidRDefault="001C379C" w:rsidP="00497A1C">
            <w:pPr>
              <w:jc w:val="center"/>
              <w:rPr>
                <w:rFonts w:ascii="Arial" w:hAnsi="Arial" w:cs="Arial"/>
                <w:szCs w:val="20"/>
              </w:rPr>
            </w:pPr>
            <w:r w:rsidRPr="001C379C">
              <w:rPr>
                <w:rFonts w:ascii="Arial" w:hAnsi="Arial" w:cs="Arial"/>
                <w:szCs w:val="20"/>
              </w:rPr>
              <w:t xml:space="preserve">……. </w:t>
            </w:r>
            <w:r w:rsidRPr="001C379C">
              <w:rPr>
                <w:rFonts w:ascii="Arial" w:hAnsi="Arial" w:cs="Arial"/>
                <w:i/>
                <w:szCs w:val="20"/>
              </w:rPr>
              <w:t>€ (maximum 600 €)</w:t>
            </w:r>
          </w:p>
        </w:tc>
      </w:tr>
      <w:tr w:rsidR="001C379C" w:rsidRPr="001C379C" w:rsidTr="00497A1C">
        <w:trPr>
          <w:trHeight w:val="510"/>
        </w:trPr>
        <w:tc>
          <w:tcPr>
            <w:tcW w:w="5169" w:type="dxa"/>
          </w:tcPr>
          <w:p w:rsidR="001C379C" w:rsidRPr="001C379C" w:rsidRDefault="001C379C" w:rsidP="00497A1C">
            <w:pPr>
              <w:jc w:val="center"/>
              <w:rPr>
                <w:rFonts w:ascii="Arial" w:hAnsi="Arial" w:cs="Arial"/>
                <w:szCs w:val="20"/>
              </w:rPr>
            </w:pPr>
            <w:r w:rsidRPr="001C379C">
              <w:rPr>
                <w:rFonts w:ascii="Arial" w:hAnsi="Arial" w:cs="Arial"/>
                <w:szCs w:val="20"/>
              </w:rPr>
              <w:t>Supérieure à 29 160 € et inférieure ou égale à 30 840 €</w:t>
            </w:r>
          </w:p>
        </w:tc>
        <w:tc>
          <w:tcPr>
            <w:tcW w:w="5169" w:type="dxa"/>
          </w:tcPr>
          <w:p w:rsidR="001C379C" w:rsidRPr="001C379C" w:rsidRDefault="001C379C" w:rsidP="00497A1C">
            <w:pPr>
              <w:jc w:val="center"/>
              <w:rPr>
                <w:rFonts w:ascii="Arial" w:hAnsi="Arial" w:cs="Arial"/>
                <w:szCs w:val="20"/>
              </w:rPr>
            </w:pPr>
            <w:r w:rsidRPr="001C379C">
              <w:rPr>
                <w:rFonts w:ascii="Arial" w:hAnsi="Arial" w:cs="Arial"/>
                <w:szCs w:val="20"/>
              </w:rPr>
              <w:t xml:space="preserve">……. € </w:t>
            </w:r>
            <w:r w:rsidRPr="001C379C">
              <w:rPr>
                <w:rFonts w:ascii="Arial" w:hAnsi="Arial" w:cs="Arial"/>
                <w:i/>
                <w:szCs w:val="20"/>
              </w:rPr>
              <w:t>(maximum 500 €)</w:t>
            </w:r>
          </w:p>
        </w:tc>
      </w:tr>
      <w:tr w:rsidR="001C379C" w:rsidRPr="001C379C" w:rsidTr="00497A1C">
        <w:trPr>
          <w:trHeight w:val="510"/>
        </w:trPr>
        <w:tc>
          <w:tcPr>
            <w:tcW w:w="5169" w:type="dxa"/>
          </w:tcPr>
          <w:p w:rsidR="001C379C" w:rsidRPr="001C379C" w:rsidRDefault="001C379C" w:rsidP="00497A1C">
            <w:pPr>
              <w:jc w:val="center"/>
              <w:rPr>
                <w:rFonts w:ascii="Arial" w:hAnsi="Arial" w:cs="Arial"/>
                <w:szCs w:val="20"/>
              </w:rPr>
            </w:pPr>
            <w:r w:rsidRPr="001C379C">
              <w:rPr>
                <w:rFonts w:ascii="Arial" w:hAnsi="Arial" w:cs="Arial"/>
                <w:szCs w:val="20"/>
              </w:rPr>
              <w:t>Supérieure à 30 840 € et inférieure ou égale à 32 280 €</w:t>
            </w:r>
          </w:p>
        </w:tc>
        <w:tc>
          <w:tcPr>
            <w:tcW w:w="5169" w:type="dxa"/>
          </w:tcPr>
          <w:p w:rsidR="001C379C" w:rsidRPr="001C379C" w:rsidRDefault="001C379C" w:rsidP="00497A1C">
            <w:pPr>
              <w:jc w:val="center"/>
              <w:rPr>
                <w:rFonts w:ascii="Arial" w:hAnsi="Arial" w:cs="Arial"/>
                <w:szCs w:val="20"/>
              </w:rPr>
            </w:pPr>
            <w:r w:rsidRPr="001C379C">
              <w:rPr>
                <w:rFonts w:ascii="Arial" w:hAnsi="Arial" w:cs="Arial"/>
                <w:szCs w:val="20"/>
              </w:rPr>
              <w:t xml:space="preserve">……. € </w:t>
            </w:r>
            <w:r w:rsidRPr="001C379C">
              <w:rPr>
                <w:rFonts w:ascii="Arial" w:hAnsi="Arial" w:cs="Arial"/>
                <w:i/>
                <w:szCs w:val="20"/>
              </w:rPr>
              <w:t>(maximum 400 €)</w:t>
            </w:r>
          </w:p>
        </w:tc>
      </w:tr>
      <w:tr w:rsidR="001C379C" w:rsidRPr="001C379C" w:rsidTr="00497A1C">
        <w:trPr>
          <w:trHeight w:val="510"/>
        </w:trPr>
        <w:tc>
          <w:tcPr>
            <w:tcW w:w="5169" w:type="dxa"/>
          </w:tcPr>
          <w:p w:rsidR="001C379C" w:rsidRPr="001C379C" w:rsidRDefault="001C379C" w:rsidP="00497A1C">
            <w:pPr>
              <w:jc w:val="center"/>
              <w:rPr>
                <w:rFonts w:ascii="Arial" w:hAnsi="Arial" w:cs="Arial"/>
                <w:szCs w:val="20"/>
              </w:rPr>
            </w:pPr>
            <w:r w:rsidRPr="001C379C">
              <w:rPr>
                <w:rFonts w:ascii="Arial" w:hAnsi="Arial" w:cs="Arial"/>
                <w:szCs w:val="20"/>
              </w:rPr>
              <w:t>Supérieure à 32 280 € et inférieure ou égale à 33 600 €</w:t>
            </w:r>
          </w:p>
        </w:tc>
        <w:tc>
          <w:tcPr>
            <w:tcW w:w="5169" w:type="dxa"/>
          </w:tcPr>
          <w:p w:rsidR="001C379C" w:rsidRPr="001C379C" w:rsidRDefault="001C379C" w:rsidP="00497A1C">
            <w:pPr>
              <w:jc w:val="center"/>
              <w:rPr>
                <w:rFonts w:ascii="Arial" w:hAnsi="Arial" w:cs="Arial"/>
                <w:szCs w:val="20"/>
              </w:rPr>
            </w:pPr>
            <w:r w:rsidRPr="001C379C">
              <w:rPr>
                <w:rFonts w:ascii="Arial" w:hAnsi="Arial" w:cs="Arial"/>
                <w:szCs w:val="20"/>
              </w:rPr>
              <w:t xml:space="preserve">……. € </w:t>
            </w:r>
            <w:r w:rsidRPr="001C379C">
              <w:rPr>
                <w:rFonts w:ascii="Arial" w:hAnsi="Arial" w:cs="Arial"/>
                <w:i/>
                <w:szCs w:val="20"/>
              </w:rPr>
              <w:t>(maximum 350 €)</w:t>
            </w:r>
          </w:p>
        </w:tc>
      </w:tr>
      <w:tr w:rsidR="001C379C" w:rsidRPr="001C379C" w:rsidTr="00497A1C">
        <w:trPr>
          <w:trHeight w:val="510"/>
        </w:trPr>
        <w:tc>
          <w:tcPr>
            <w:tcW w:w="5169" w:type="dxa"/>
          </w:tcPr>
          <w:p w:rsidR="001C379C" w:rsidRPr="001C379C" w:rsidRDefault="001C379C" w:rsidP="00497A1C">
            <w:pPr>
              <w:jc w:val="center"/>
              <w:rPr>
                <w:rFonts w:ascii="Arial" w:hAnsi="Arial" w:cs="Arial"/>
                <w:szCs w:val="20"/>
              </w:rPr>
            </w:pPr>
            <w:r w:rsidRPr="001C379C">
              <w:rPr>
                <w:rFonts w:ascii="Arial" w:hAnsi="Arial" w:cs="Arial"/>
                <w:szCs w:val="20"/>
              </w:rPr>
              <w:t>Supérieure à 33 600 € et inférieure ou égale à 39 000 €</w:t>
            </w:r>
          </w:p>
        </w:tc>
        <w:tc>
          <w:tcPr>
            <w:tcW w:w="5169" w:type="dxa"/>
          </w:tcPr>
          <w:p w:rsidR="001C379C" w:rsidRPr="001C379C" w:rsidRDefault="001C379C" w:rsidP="00497A1C">
            <w:pPr>
              <w:jc w:val="center"/>
              <w:rPr>
                <w:rFonts w:ascii="Arial" w:hAnsi="Arial" w:cs="Arial"/>
                <w:szCs w:val="20"/>
              </w:rPr>
            </w:pPr>
            <w:r w:rsidRPr="001C379C">
              <w:rPr>
                <w:rFonts w:ascii="Arial" w:hAnsi="Arial" w:cs="Arial"/>
                <w:szCs w:val="20"/>
              </w:rPr>
              <w:t xml:space="preserve">……. € </w:t>
            </w:r>
            <w:r w:rsidRPr="001C379C">
              <w:rPr>
                <w:rFonts w:ascii="Arial" w:hAnsi="Arial" w:cs="Arial"/>
                <w:i/>
                <w:szCs w:val="20"/>
              </w:rPr>
              <w:t>(maximum 300 €)</w:t>
            </w:r>
          </w:p>
        </w:tc>
      </w:tr>
    </w:tbl>
    <w:p w:rsidR="001C379C" w:rsidRPr="001C379C" w:rsidRDefault="001C379C" w:rsidP="001C379C">
      <w:pPr>
        <w:pStyle w:val="VuConsidrant"/>
        <w:tabs>
          <w:tab w:val="left" w:pos="0"/>
        </w:tabs>
        <w:spacing w:after="0" w:line="288" w:lineRule="auto"/>
      </w:pPr>
    </w:p>
    <w:p w:rsidR="001C379C" w:rsidRPr="001C379C" w:rsidRDefault="001C379C" w:rsidP="001C379C">
      <w:pPr>
        <w:pStyle w:val="VuConsidrant"/>
        <w:tabs>
          <w:tab w:val="left" w:pos="0"/>
        </w:tabs>
        <w:spacing w:after="0" w:line="288" w:lineRule="auto"/>
      </w:pPr>
      <w:r w:rsidRPr="001C379C">
        <w:t>Le montant de la prime est réduit à proportion de la quotité de travail et de la durée d’emploi sur la période du 1</w:t>
      </w:r>
      <w:r w:rsidRPr="001C379C">
        <w:rPr>
          <w:vertAlign w:val="superscript"/>
        </w:rPr>
        <w:t>er</w:t>
      </w:r>
      <w:r w:rsidRPr="001C379C">
        <w:t xml:space="preserve"> juillet 2022 au 30 juin 2023. Il n’est en revanche pas possible de moduler le montant de la prime afin de tenir compte de la manière de servir.</w:t>
      </w:r>
    </w:p>
    <w:p w:rsidR="001C379C" w:rsidRPr="001C379C" w:rsidRDefault="001C379C" w:rsidP="001C379C">
      <w:pPr>
        <w:pStyle w:val="VuConsidrant"/>
        <w:tabs>
          <w:tab w:val="left" w:pos="0"/>
        </w:tabs>
        <w:spacing w:after="0" w:line="288" w:lineRule="auto"/>
      </w:pPr>
    </w:p>
    <w:p w:rsidR="001C379C" w:rsidRPr="001C379C" w:rsidRDefault="001C379C" w:rsidP="001C379C">
      <w:pPr>
        <w:pStyle w:val="VuConsidrant"/>
        <w:tabs>
          <w:tab w:val="left" w:pos="0"/>
        </w:tabs>
        <w:spacing w:after="0" w:line="288" w:lineRule="auto"/>
      </w:pPr>
      <w:r w:rsidRPr="001C379C">
        <w:t>La prime peut être versée en une ou plusieurs fractions, avant le 30 juin 2024. Elle n’est pas reconductible.</w:t>
      </w:r>
    </w:p>
    <w:p w:rsidR="001C379C" w:rsidRPr="001C379C" w:rsidRDefault="001C379C" w:rsidP="001C379C">
      <w:pPr>
        <w:pStyle w:val="VuConsidrant"/>
        <w:tabs>
          <w:tab w:val="left" w:pos="0"/>
        </w:tabs>
        <w:spacing w:after="0" w:line="288" w:lineRule="auto"/>
      </w:pPr>
      <w:r w:rsidRPr="001C379C">
        <w:t xml:space="preserve">Il est proposé à l’assemblée de retenir un versement unique au mois de </w:t>
      </w:r>
      <w:proofErr w:type="gramStart"/>
      <w:r w:rsidRPr="001C379C">
        <w:t>…….</w:t>
      </w:r>
      <w:proofErr w:type="gramEnd"/>
      <w:r w:rsidRPr="001C379C">
        <w:t xml:space="preserve">. </w:t>
      </w:r>
      <w:r w:rsidRPr="001C379C">
        <w:rPr>
          <w:b/>
        </w:rPr>
        <w:t>OU</w:t>
      </w:r>
      <w:r w:rsidRPr="001C379C">
        <w:t xml:space="preserve"> un versement en plusieurs fractions aux mois de ………</w:t>
      </w:r>
    </w:p>
    <w:p w:rsidR="001C379C" w:rsidRPr="001C379C" w:rsidRDefault="001C379C" w:rsidP="001C379C">
      <w:pPr>
        <w:pStyle w:val="VuConsidrant"/>
        <w:tabs>
          <w:tab w:val="left" w:pos="0"/>
        </w:tabs>
        <w:spacing w:after="0" w:line="288" w:lineRule="auto"/>
      </w:pPr>
    </w:p>
    <w:p w:rsidR="001C379C" w:rsidRPr="001C379C" w:rsidRDefault="001C379C" w:rsidP="001C379C">
      <w:pPr>
        <w:pStyle w:val="VuConsidrant"/>
        <w:tabs>
          <w:tab w:val="left" w:pos="0"/>
        </w:tabs>
        <w:spacing w:after="0" w:line="288" w:lineRule="auto"/>
      </w:pPr>
      <w:r w:rsidRPr="001C379C">
        <w:t xml:space="preserve">Elle est cumulable avec toute autre prime et indemnité perçue par l’agent, à l’exception de la prime de pouvoir d’achat exceptionnelle versée aux agents publics de la fonction publique d’Etat ou de la fonction publique hospitalière ainsi qu’aux militaires. </w:t>
      </w:r>
    </w:p>
    <w:p w:rsidR="001C379C" w:rsidRPr="001C379C" w:rsidRDefault="001C379C" w:rsidP="001C379C">
      <w:pPr>
        <w:pStyle w:val="VuConsidrant"/>
        <w:tabs>
          <w:tab w:val="left" w:pos="0"/>
        </w:tabs>
        <w:spacing w:after="0" w:line="288" w:lineRule="auto"/>
      </w:pPr>
    </w:p>
    <w:p w:rsidR="001C379C" w:rsidRPr="001C379C" w:rsidRDefault="001C379C" w:rsidP="001C379C">
      <w:pPr>
        <w:pStyle w:val="VuConsidrant"/>
        <w:tabs>
          <w:tab w:val="left" w:pos="0"/>
        </w:tabs>
        <w:spacing w:after="0" w:line="288" w:lineRule="auto"/>
      </w:pPr>
      <w:r w:rsidRPr="001C379C">
        <w:t>L’attribution de la prime exceptionnelle à chaque agent fait l’objet d’un arrêté individuel.</w:t>
      </w:r>
    </w:p>
    <w:p w:rsidR="001C379C" w:rsidRPr="001C379C" w:rsidRDefault="001C379C" w:rsidP="001C379C">
      <w:pPr>
        <w:pStyle w:val="VuConsidrant"/>
        <w:tabs>
          <w:tab w:val="left" w:pos="426"/>
        </w:tabs>
        <w:spacing w:after="0"/>
      </w:pPr>
    </w:p>
    <w:p w:rsidR="001C379C" w:rsidRPr="001C379C" w:rsidRDefault="001C379C" w:rsidP="001C379C">
      <w:pPr>
        <w:pStyle w:val="VuConsidrant"/>
        <w:tabs>
          <w:tab w:val="left" w:pos="426"/>
        </w:tabs>
        <w:spacing w:after="0" w:line="288" w:lineRule="auto"/>
        <w:rPr>
          <w:b/>
        </w:rPr>
      </w:pPr>
      <w:r w:rsidRPr="001C379C">
        <w:rPr>
          <w:b/>
        </w:rPr>
        <w:t>L’assemblée délibérante, après en avoir délibéré, décide :</w:t>
      </w:r>
    </w:p>
    <w:p w:rsidR="001C379C" w:rsidRPr="001C379C" w:rsidRDefault="001C379C" w:rsidP="001C379C">
      <w:pPr>
        <w:pStyle w:val="VuConsidrant"/>
        <w:tabs>
          <w:tab w:val="left" w:pos="426"/>
        </w:tabs>
        <w:spacing w:after="0" w:line="288" w:lineRule="auto"/>
      </w:pPr>
    </w:p>
    <w:p w:rsidR="001C379C" w:rsidRPr="00021425" w:rsidRDefault="001C379C" w:rsidP="00021425">
      <w:pPr>
        <w:pStyle w:val="VuConsidrant"/>
        <w:numPr>
          <w:ilvl w:val="0"/>
          <w:numId w:val="16"/>
        </w:numPr>
        <w:tabs>
          <w:tab w:val="left" w:pos="0"/>
        </w:tabs>
        <w:spacing w:after="0" w:line="288" w:lineRule="auto"/>
        <w:rPr>
          <w:rStyle w:val="lev"/>
          <w:b w:val="0"/>
          <w:color w:val="auto"/>
        </w:rPr>
      </w:pPr>
      <w:r w:rsidRPr="00021425">
        <w:rPr>
          <w:rStyle w:val="lev"/>
          <w:b w:val="0"/>
          <w:color w:val="auto"/>
        </w:rPr>
        <w:t>D’instaurer la prime de pouvoir d’achat exceptionnelle pour les agents publics éligibles,</w:t>
      </w:r>
    </w:p>
    <w:p w:rsidR="001C379C" w:rsidRPr="00021425" w:rsidRDefault="001C379C" w:rsidP="00021425">
      <w:pPr>
        <w:pStyle w:val="VuConsidrant"/>
        <w:numPr>
          <w:ilvl w:val="0"/>
          <w:numId w:val="16"/>
        </w:numPr>
        <w:tabs>
          <w:tab w:val="left" w:pos="0"/>
        </w:tabs>
        <w:spacing w:after="0" w:line="288" w:lineRule="auto"/>
        <w:rPr>
          <w:rStyle w:val="lev"/>
          <w:b w:val="0"/>
          <w:color w:val="auto"/>
        </w:rPr>
      </w:pPr>
      <w:r w:rsidRPr="00021425">
        <w:rPr>
          <w:rStyle w:val="lev"/>
          <w:b w:val="0"/>
          <w:color w:val="auto"/>
        </w:rPr>
        <w:t>De déterminer les montants forfaitaires suivants :</w:t>
      </w:r>
    </w:p>
    <w:tbl>
      <w:tblPr>
        <w:tblStyle w:val="Grilledetableauclaire"/>
        <w:tblW w:w="0" w:type="auto"/>
        <w:tblLook w:val="04A0" w:firstRow="1" w:lastRow="0" w:firstColumn="1" w:lastColumn="0" w:noHBand="0" w:noVBand="1"/>
      </w:tblPr>
      <w:tblGrid>
        <w:gridCol w:w="4812"/>
        <w:gridCol w:w="4816"/>
      </w:tblGrid>
      <w:tr w:rsidR="001C379C" w:rsidRPr="001C379C" w:rsidTr="00497A1C">
        <w:trPr>
          <w:trHeight w:val="510"/>
        </w:trPr>
        <w:tc>
          <w:tcPr>
            <w:tcW w:w="5169" w:type="dxa"/>
          </w:tcPr>
          <w:p w:rsidR="001C379C" w:rsidRPr="001C379C" w:rsidRDefault="001C379C" w:rsidP="00497A1C">
            <w:pPr>
              <w:jc w:val="center"/>
              <w:rPr>
                <w:rFonts w:ascii="Arial" w:hAnsi="Arial" w:cs="Arial"/>
                <w:b/>
                <w:szCs w:val="20"/>
              </w:rPr>
            </w:pPr>
            <w:r w:rsidRPr="001C379C">
              <w:rPr>
                <w:rFonts w:ascii="Arial" w:hAnsi="Arial" w:cs="Arial"/>
                <w:b/>
                <w:szCs w:val="20"/>
              </w:rPr>
              <w:t>Rémunération brute perçue au titre de la période courant du 1</w:t>
            </w:r>
            <w:r w:rsidRPr="001C379C">
              <w:rPr>
                <w:rFonts w:ascii="Arial" w:hAnsi="Arial" w:cs="Arial"/>
                <w:b/>
                <w:szCs w:val="20"/>
                <w:vertAlign w:val="superscript"/>
              </w:rPr>
              <w:t>er</w:t>
            </w:r>
            <w:r w:rsidRPr="001C379C">
              <w:rPr>
                <w:rFonts w:ascii="Arial" w:hAnsi="Arial" w:cs="Arial"/>
                <w:b/>
                <w:szCs w:val="20"/>
              </w:rPr>
              <w:t xml:space="preserve"> juillet 2022 au 30 juin 2023</w:t>
            </w:r>
          </w:p>
        </w:tc>
        <w:tc>
          <w:tcPr>
            <w:tcW w:w="5169" w:type="dxa"/>
          </w:tcPr>
          <w:p w:rsidR="001C379C" w:rsidRPr="001C379C" w:rsidRDefault="001C379C" w:rsidP="00497A1C">
            <w:pPr>
              <w:jc w:val="center"/>
              <w:rPr>
                <w:rFonts w:ascii="Arial" w:hAnsi="Arial" w:cs="Arial"/>
                <w:b/>
                <w:szCs w:val="20"/>
              </w:rPr>
            </w:pPr>
            <w:r w:rsidRPr="001C379C">
              <w:rPr>
                <w:rFonts w:ascii="Arial" w:hAnsi="Arial" w:cs="Arial"/>
                <w:b/>
                <w:szCs w:val="20"/>
              </w:rPr>
              <w:t>Montant de la prime de pouvoir d’achat exceptionnelle</w:t>
            </w:r>
          </w:p>
        </w:tc>
      </w:tr>
      <w:tr w:rsidR="001C379C" w:rsidRPr="001C379C" w:rsidTr="00497A1C">
        <w:trPr>
          <w:trHeight w:val="510"/>
        </w:trPr>
        <w:tc>
          <w:tcPr>
            <w:tcW w:w="5169" w:type="dxa"/>
          </w:tcPr>
          <w:p w:rsidR="001C379C" w:rsidRPr="001C379C" w:rsidRDefault="001C379C" w:rsidP="00497A1C">
            <w:pPr>
              <w:jc w:val="center"/>
              <w:rPr>
                <w:rFonts w:ascii="Arial" w:hAnsi="Arial" w:cs="Arial"/>
                <w:szCs w:val="20"/>
              </w:rPr>
            </w:pPr>
            <w:r w:rsidRPr="001C379C">
              <w:rPr>
                <w:rFonts w:ascii="Arial" w:hAnsi="Arial" w:cs="Arial"/>
                <w:szCs w:val="20"/>
              </w:rPr>
              <w:t>Inférieure ou égale à 23 700 €</w:t>
            </w:r>
          </w:p>
        </w:tc>
        <w:tc>
          <w:tcPr>
            <w:tcW w:w="5169" w:type="dxa"/>
          </w:tcPr>
          <w:p w:rsidR="001C379C" w:rsidRPr="001C379C" w:rsidRDefault="001C379C" w:rsidP="00497A1C">
            <w:pPr>
              <w:jc w:val="center"/>
              <w:rPr>
                <w:rFonts w:ascii="Arial" w:hAnsi="Arial" w:cs="Arial"/>
                <w:szCs w:val="20"/>
              </w:rPr>
            </w:pPr>
            <w:r w:rsidRPr="001C379C">
              <w:rPr>
                <w:rFonts w:ascii="Arial" w:hAnsi="Arial" w:cs="Arial"/>
                <w:szCs w:val="20"/>
              </w:rPr>
              <w:t xml:space="preserve">……. € </w:t>
            </w:r>
            <w:r w:rsidRPr="001C379C">
              <w:rPr>
                <w:rFonts w:ascii="Arial" w:hAnsi="Arial" w:cs="Arial"/>
                <w:i/>
                <w:szCs w:val="20"/>
              </w:rPr>
              <w:t>(maximum 800 €)</w:t>
            </w:r>
          </w:p>
        </w:tc>
      </w:tr>
      <w:tr w:rsidR="001C379C" w:rsidRPr="001C379C" w:rsidTr="00497A1C">
        <w:trPr>
          <w:trHeight w:val="510"/>
        </w:trPr>
        <w:tc>
          <w:tcPr>
            <w:tcW w:w="5169" w:type="dxa"/>
          </w:tcPr>
          <w:p w:rsidR="001C379C" w:rsidRPr="001C379C" w:rsidRDefault="001C379C" w:rsidP="00497A1C">
            <w:pPr>
              <w:jc w:val="center"/>
              <w:rPr>
                <w:rFonts w:ascii="Arial" w:hAnsi="Arial" w:cs="Arial"/>
                <w:szCs w:val="20"/>
              </w:rPr>
            </w:pPr>
            <w:r w:rsidRPr="001C379C">
              <w:rPr>
                <w:rFonts w:ascii="Arial" w:hAnsi="Arial" w:cs="Arial"/>
                <w:szCs w:val="20"/>
              </w:rPr>
              <w:t>Supérieure à 23 700 € et inférieure ou égale à 27 300 €</w:t>
            </w:r>
          </w:p>
        </w:tc>
        <w:tc>
          <w:tcPr>
            <w:tcW w:w="5169" w:type="dxa"/>
          </w:tcPr>
          <w:p w:rsidR="001C379C" w:rsidRPr="001C379C" w:rsidRDefault="001C379C" w:rsidP="00497A1C">
            <w:pPr>
              <w:jc w:val="center"/>
              <w:rPr>
                <w:rFonts w:ascii="Arial" w:hAnsi="Arial" w:cs="Arial"/>
                <w:szCs w:val="20"/>
              </w:rPr>
            </w:pPr>
            <w:r w:rsidRPr="001C379C">
              <w:rPr>
                <w:rFonts w:ascii="Arial" w:hAnsi="Arial" w:cs="Arial"/>
                <w:szCs w:val="20"/>
              </w:rPr>
              <w:t xml:space="preserve">……. € </w:t>
            </w:r>
            <w:r w:rsidRPr="001C379C">
              <w:rPr>
                <w:rFonts w:ascii="Arial" w:hAnsi="Arial" w:cs="Arial"/>
                <w:i/>
                <w:szCs w:val="20"/>
              </w:rPr>
              <w:t>(maximum 700 €)</w:t>
            </w:r>
          </w:p>
        </w:tc>
      </w:tr>
      <w:tr w:rsidR="001C379C" w:rsidRPr="001C379C" w:rsidTr="00497A1C">
        <w:trPr>
          <w:trHeight w:val="510"/>
        </w:trPr>
        <w:tc>
          <w:tcPr>
            <w:tcW w:w="5169" w:type="dxa"/>
          </w:tcPr>
          <w:p w:rsidR="001C379C" w:rsidRPr="001C379C" w:rsidRDefault="001C379C" w:rsidP="00497A1C">
            <w:pPr>
              <w:jc w:val="center"/>
              <w:rPr>
                <w:rFonts w:ascii="Arial" w:hAnsi="Arial" w:cs="Arial"/>
                <w:szCs w:val="20"/>
              </w:rPr>
            </w:pPr>
            <w:r w:rsidRPr="001C379C">
              <w:rPr>
                <w:rFonts w:ascii="Arial" w:hAnsi="Arial" w:cs="Arial"/>
                <w:szCs w:val="20"/>
              </w:rPr>
              <w:t>Supérieure à 27 300 € et inférieure ou égale à 29 160 €</w:t>
            </w:r>
          </w:p>
        </w:tc>
        <w:tc>
          <w:tcPr>
            <w:tcW w:w="5169" w:type="dxa"/>
          </w:tcPr>
          <w:p w:rsidR="001C379C" w:rsidRPr="001C379C" w:rsidRDefault="001C379C" w:rsidP="00497A1C">
            <w:pPr>
              <w:jc w:val="center"/>
              <w:rPr>
                <w:rFonts w:ascii="Arial" w:hAnsi="Arial" w:cs="Arial"/>
                <w:szCs w:val="20"/>
              </w:rPr>
            </w:pPr>
            <w:r w:rsidRPr="001C379C">
              <w:rPr>
                <w:rFonts w:ascii="Arial" w:hAnsi="Arial" w:cs="Arial"/>
                <w:szCs w:val="20"/>
              </w:rPr>
              <w:t xml:space="preserve">……. </w:t>
            </w:r>
            <w:r w:rsidRPr="001C379C">
              <w:rPr>
                <w:rFonts w:ascii="Arial" w:hAnsi="Arial" w:cs="Arial"/>
                <w:i/>
                <w:szCs w:val="20"/>
              </w:rPr>
              <w:t>€ (maximum 600 €)</w:t>
            </w:r>
          </w:p>
        </w:tc>
      </w:tr>
      <w:tr w:rsidR="001C379C" w:rsidRPr="001C379C" w:rsidTr="00497A1C">
        <w:trPr>
          <w:trHeight w:val="510"/>
        </w:trPr>
        <w:tc>
          <w:tcPr>
            <w:tcW w:w="5169" w:type="dxa"/>
          </w:tcPr>
          <w:p w:rsidR="001C379C" w:rsidRPr="001C379C" w:rsidRDefault="001C379C" w:rsidP="00497A1C">
            <w:pPr>
              <w:jc w:val="center"/>
              <w:rPr>
                <w:rFonts w:ascii="Arial" w:hAnsi="Arial" w:cs="Arial"/>
                <w:szCs w:val="20"/>
              </w:rPr>
            </w:pPr>
            <w:r w:rsidRPr="001C379C">
              <w:rPr>
                <w:rFonts w:ascii="Arial" w:hAnsi="Arial" w:cs="Arial"/>
                <w:szCs w:val="20"/>
              </w:rPr>
              <w:t>Supérieure à 29 160 € et inférieure ou égale à 30 840 €</w:t>
            </w:r>
          </w:p>
        </w:tc>
        <w:tc>
          <w:tcPr>
            <w:tcW w:w="5169" w:type="dxa"/>
          </w:tcPr>
          <w:p w:rsidR="001C379C" w:rsidRPr="001C379C" w:rsidRDefault="001C379C" w:rsidP="00497A1C">
            <w:pPr>
              <w:jc w:val="center"/>
              <w:rPr>
                <w:rFonts w:ascii="Arial" w:hAnsi="Arial" w:cs="Arial"/>
                <w:szCs w:val="20"/>
              </w:rPr>
            </w:pPr>
            <w:r w:rsidRPr="001C379C">
              <w:rPr>
                <w:rFonts w:ascii="Arial" w:hAnsi="Arial" w:cs="Arial"/>
                <w:szCs w:val="20"/>
              </w:rPr>
              <w:t xml:space="preserve">……. € </w:t>
            </w:r>
            <w:r w:rsidRPr="001C379C">
              <w:rPr>
                <w:rFonts w:ascii="Arial" w:hAnsi="Arial" w:cs="Arial"/>
                <w:i/>
                <w:szCs w:val="20"/>
              </w:rPr>
              <w:t>(maximum 500 €)</w:t>
            </w:r>
          </w:p>
        </w:tc>
      </w:tr>
      <w:tr w:rsidR="001C379C" w:rsidRPr="001C379C" w:rsidTr="00497A1C">
        <w:trPr>
          <w:trHeight w:val="510"/>
        </w:trPr>
        <w:tc>
          <w:tcPr>
            <w:tcW w:w="5169" w:type="dxa"/>
          </w:tcPr>
          <w:p w:rsidR="001C379C" w:rsidRPr="001C379C" w:rsidRDefault="001C379C" w:rsidP="00497A1C">
            <w:pPr>
              <w:jc w:val="center"/>
              <w:rPr>
                <w:rFonts w:ascii="Arial" w:hAnsi="Arial" w:cs="Arial"/>
                <w:szCs w:val="20"/>
              </w:rPr>
            </w:pPr>
            <w:r w:rsidRPr="001C379C">
              <w:rPr>
                <w:rFonts w:ascii="Arial" w:hAnsi="Arial" w:cs="Arial"/>
                <w:szCs w:val="20"/>
              </w:rPr>
              <w:t>Supérieure à 30 840 € et inférieure ou égale à 32 280 €</w:t>
            </w:r>
          </w:p>
        </w:tc>
        <w:tc>
          <w:tcPr>
            <w:tcW w:w="5169" w:type="dxa"/>
          </w:tcPr>
          <w:p w:rsidR="001C379C" w:rsidRPr="001C379C" w:rsidRDefault="001C379C" w:rsidP="00497A1C">
            <w:pPr>
              <w:jc w:val="center"/>
              <w:rPr>
                <w:rFonts w:ascii="Arial" w:hAnsi="Arial" w:cs="Arial"/>
                <w:szCs w:val="20"/>
              </w:rPr>
            </w:pPr>
            <w:r w:rsidRPr="001C379C">
              <w:rPr>
                <w:rFonts w:ascii="Arial" w:hAnsi="Arial" w:cs="Arial"/>
                <w:szCs w:val="20"/>
              </w:rPr>
              <w:t xml:space="preserve">……. € </w:t>
            </w:r>
            <w:r w:rsidRPr="001C379C">
              <w:rPr>
                <w:rFonts w:ascii="Arial" w:hAnsi="Arial" w:cs="Arial"/>
                <w:i/>
                <w:szCs w:val="20"/>
              </w:rPr>
              <w:t>(maximum 400 €)</w:t>
            </w:r>
          </w:p>
        </w:tc>
      </w:tr>
      <w:tr w:rsidR="001C379C" w:rsidRPr="001C379C" w:rsidTr="00497A1C">
        <w:trPr>
          <w:trHeight w:val="510"/>
        </w:trPr>
        <w:tc>
          <w:tcPr>
            <w:tcW w:w="5169" w:type="dxa"/>
          </w:tcPr>
          <w:p w:rsidR="001C379C" w:rsidRPr="001C379C" w:rsidRDefault="001C379C" w:rsidP="00497A1C">
            <w:pPr>
              <w:jc w:val="center"/>
              <w:rPr>
                <w:rFonts w:ascii="Arial" w:hAnsi="Arial" w:cs="Arial"/>
                <w:szCs w:val="20"/>
              </w:rPr>
            </w:pPr>
            <w:r w:rsidRPr="001C379C">
              <w:rPr>
                <w:rFonts w:ascii="Arial" w:hAnsi="Arial" w:cs="Arial"/>
                <w:szCs w:val="20"/>
              </w:rPr>
              <w:lastRenderedPageBreak/>
              <w:t>Supérieure à 32 280 € et inférieure ou égale à 33 600 €</w:t>
            </w:r>
          </w:p>
        </w:tc>
        <w:tc>
          <w:tcPr>
            <w:tcW w:w="5169" w:type="dxa"/>
          </w:tcPr>
          <w:p w:rsidR="001C379C" w:rsidRPr="001C379C" w:rsidRDefault="001C379C" w:rsidP="00497A1C">
            <w:pPr>
              <w:jc w:val="center"/>
              <w:rPr>
                <w:rFonts w:ascii="Arial" w:hAnsi="Arial" w:cs="Arial"/>
                <w:szCs w:val="20"/>
              </w:rPr>
            </w:pPr>
            <w:r w:rsidRPr="001C379C">
              <w:rPr>
                <w:rFonts w:ascii="Arial" w:hAnsi="Arial" w:cs="Arial"/>
                <w:szCs w:val="20"/>
              </w:rPr>
              <w:t xml:space="preserve">……. € </w:t>
            </w:r>
            <w:r w:rsidRPr="001C379C">
              <w:rPr>
                <w:rFonts w:ascii="Arial" w:hAnsi="Arial" w:cs="Arial"/>
                <w:i/>
                <w:szCs w:val="20"/>
              </w:rPr>
              <w:t>(maximum 350 €)</w:t>
            </w:r>
          </w:p>
        </w:tc>
      </w:tr>
      <w:tr w:rsidR="001C379C" w:rsidRPr="001C379C" w:rsidTr="00497A1C">
        <w:trPr>
          <w:trHeight w:val="510"/>
        </w:trPr>
        <w:tc>
          <w:tcPr>
            <w:tcW w:w="5169" w:type="dxa"/>
          </w:tcPr>
          <w:p w:rsidR="001C379C" w:rsidRPr="001C379C" w:rsidRDefault="001C379C" w:rsidP="00497A1C">
            <w:pPr>
              <w:jc w:val="center"/>
              <w:rPr>
                <w:rFonts w:ascii="Arial" w:hAnsi="Arial" w:cs="Arial"/>
                <w:szCs w:val="20"/>
              </w:rPr>
            </w:pPr>
            <w:r w:rsidRPr="001C379C">
              <w:rPr>
                <w:rFonts w:ascii="Arial" w:hAnsi="Arial" w:cs="Arial"/>
                <w:szCs w:val="20"/>
              </w:rPr>
              <w:t>Supérieure à 33 600 € et inférieure ou égale à 39 000 €</w:t>
            </w:r>
          </w:p>
        </w:tc>
        <w:tc>
          <w:tcPr>
            <w:tcW w:w="5169" w:type="dxa"/>
          </w:tcPr>
          <w:p w:rsidR="001C379C" w:rsidRPr="001C379C" w:rsidRDefault="001C379C" w:rsidP="00497A1C">
            <w:pPr>
              <w:jc w:val="center"/>
              <w:rPr>
                <w:rFonts w:ascii="Arial" w:hAnsi="Arial" w:cs="Arial"/>
                <w:szCs w:val="20"/>
              </w:rPr>
            </w:pPr>
            <w:r w:rsidRPr="001C379C">
              <w:rPr>
                <w:rFonts w:ascii="Arial" w:hAnsi="Arial" w:cs="Arial"/>
                <w:szCs w:val="20"/>
              </w:rPr>
              <w:t xml:space="preserve">……. € </w:t>
            </w:r>
            <w:r w:rsidRPr="001C379C">
              <w:rPr>
                <w:rFonts w:ascii="Arial" w:hAnsi="Arial" w:cs="Arial"/>
                <w:i/>
                <w:szCs w:val="20"/>
              </w:rPr>
              <w:t>(maximum 300 €)</w:t>
            </w:r>
          </w:p>
        </w:tc>
      </w:tr>
    </w:tbl>
    <w:p w:rsidR="001C379C" w:rsidRPr="001C379C" w:rsidRDefault="001C379C" w:rsidP="001C379C">
      <w:pPr>
        <w:pStyle w:val="VuConsidrant"/>
        <w:tabs>
          <w:tab w:val="left" w:pos="426"/>
        </w:tabs>
        <w:spacing w:after="0" w:line="288" w:lineRule="auto"/>
        <w:ind w:left="720"/>
      </w:pPr>
    </w:p>
    <w:p w:rsidR="001C379C" w:rsidRPr="001C379C" w:rsidRDefault="001C379C" w:rsidP="001C379C">
      <w:pPr>
        <w:pStyle w:val="VuConsidrant"/>
        <w:numPr>
          <w:ilvl w:val="0"/>
          <w:numId w:val="14"/>
        </w:numPr>
        <w:tabs>
          <w:tab w:val="left" w:pos="426"/>
        </w:tabs>
        <w:spacing w:after="0" w:line="288" w:lineRule="auto"/>
      </w:pPr>
      <w:r w:rsidRPr="001C379C">
        <w:t xml:space="preserve">De prévoir un versement unique au mois de </w:t>
      </w:r>
      <w:proofErr w:type="gramStart"/>
      <w:r w:rsidRPr="001C379C">
        <w:t>…….</w:t>
      </w:r>
      <w:proofErr w:type="gramEnd"/>
      <w:r w:rsidRPr="001C379C">
        <w:t xml:space="preserve">. </w:t>
      </w:r>
      <w:r w:rsidRPr="001C379C">
        <w:rPr>
          <w:b/>
        </w:rPr>
        <w:t>OU</w:t>
      </w:r>
      <w:r w:rsidRPr="001C379C">
        <w:t xml:space="preserve"> un versement en plusieurs fractions aux mois de ……….</w:t>
      </w:r>
    </w:p>
    <w:p w:rsidR="001C379C" w:rsidRPr="001C379C" w:rsidRDefault="001C379C" w:rsidP="001C379C">
      <w:pPr>
        <w:pStyle w:val="VuConsidrant"/>
        <w:numPr>
          <w:ilvl w:val="0"/>
          <w:numId w:val="14"/>
        </w:numPr>
        <w:tabs>
          <w:tab w:val="left" w:pos="426"/>
        </w:tabs>
        <w:spacing w:after="0" w:line="288" w:lineRule="auto"/>
      </w:pPr>
      <w:r w:rsidRPr="001C379C">
        <w:t>D’inscrire les crédits correspondants au budget,</w:t>
      </w:r>
    </w:p>
    <w:p w:rsidR="001C379C" w:rsidRPr="001C379C" w:rsidRDefault="001C379C" w:rsidP="001C379C">
      <w:pPr>
        <w:pStyle w:val="VuConsidrant"/>
        <w:numPr>
          <w:ilvl w:val="0"/>
          <w:numId w:val="14"/>
        </w:numPr>
        <w:tabs>
          <w:tab w:val="left" w:pos="426"/>
        </w:tabs>
        <w:spacing w:after="0" w:line="288" w:lineRule="auto"/>
      </w:pPr>
      <w:r w:rsidRPr="001C379C">
        <w:t>D’autoriser le/la Maire (</w:t>
      </w:r>
      <w:r w:rsidRPr="001C379C">
        <w:rPr>
          <w:i/>
        </w:rPr>
        <w:t>ou le Président/la Présidente</w:t>
      </w:r>
      <w:r w:rsidRPr="001C379C">
        <w:t>) à prendre et à signer les arrêtés individuels conformément aux modalités définies par la présente délibération.</w:t>
      </w:r>
    </w:p>
    <w:p w:rsidR="001C379C" w:rsidRPr="001C379C" w:rsidRDefault="001C379C" w:rsidP="001C379C">
      <w:pPr>
        <w:pStyle w:val="VuConsidrant"/>
        <w:tabs>
          <w:tab w:val="left" w:pos="426"/>
        </w:tabs>
        <w:spacing w:after="0" w:line="288" w:lineRule="auto"/>
      </w:pPr>
    </w:p>
    <w:p w:rsidR="001C379C" w:rsidRPr="001C379C" w:rsidRDefault="001C379C" w:rsidP="001C379C">
      <w:pPr>
        <w:adjustRightInd w:val="0"/>
        <w:rPr>
          <w:rFonts w:ascii="Arial" w:eastAsia="Calibri" w:hAnsi="Arial" w:cs="Arial"/>
          <w:szCs w:val="20"/>
        </w:rPr>
      </w:pPr>
      <w:r w:rsidRPr="001C379C">
        <w:rPr>
          <w:rFonts w:ascii="Arial" w:eastAsia="Calibri" w:hAnsi="Arial" w:cs="Arial"/>
          <w:szCs w:val="20"/>
        </w:rPr>
        <w:t>Le/la Maire (</w:t>
      </w:r>
      <w:r w:rsidRPr="001C379C">
        <w:rPr>
          <w:rFonts w:ascii="Arial" w:eastAsia="Calibri" w:hAnsi="Arial" w:cs="Arial"/>
          <w:i/>
          <w:szCs w:val="20"/>
        </w:rPr>
        <w:t>ou le Président/la Présidente</w:t>
      </w:r>
      <w:r w:rsidRPr="001C379C">
        <w:rPr>
          <w:rFonts w:ascii="Arial" w:eastAsia="Calibri" w:hAnsi="Arial" w:cs="Arial"/>
          <w:szCs w:val="20"/>
        </w:rPr>
        <w:t xml:space="preserve">) certifie sous sa responsabilité le caractère exécutoire de cet acte qui pourra faire l’objet d’un recours pour excès de pouvoir devant le tribunal administratif de Nantes dans un délai de deux mois à compter de sa transmission au représentant de l’Etat et de sa publication. </w:t>
      </w:r>
      <w:r w:rsidRPr="001C379C">
        <w:rPr>
          <w:rFonts w:ascii="Arial" w:hAnsi="Arial" w:cs="Arial"/>
          <w:szCs w:val="20"/>
        </w:rPr>
        <w:t xml:space="preserve">Le Tribunal Administratif de Nantes peut être saisi au moyen de l’application informatique </w:t>
      </w:r>
      <w:proofErr w:type="spellStart"/>
      <w:r w:rsidRPr="001C379C">
        <w:rPr>
          <w:rFonts w:ascii="Arial" w:hAnsi="Arial" w:cs="Arial"/>
          <w:szCs w:val="20"/>
        </w:rPr>
        <w:t>télérecours</w:t>
      </w:r>
      <w:proofErr w:type="spellEnd"/>
      <w:r w:rsidRPr="001C379C">
        <w:rPr>
          <w:rFonts w:ascii="Arial" w:hAnsi="Arial" w:cs="Arial"/>
          <w:szCs w:val="20"/>
        </w:rPr>
        <w:t xml:space="preserve"> citoyen accessible par le biais du site </w:t>
      </w:r>
      <w:hyperlink r:id="rId8" w:history="1">
        <w:r w:rsidRPr="001C379C">
          <w:rPr>
            <w:rFonts w:ascii="Arial" w:hAnsi="Arial" w:cs="Arial"/>
            <w:szCs w:val="20"/>
            <w:u w:val="single"/>
          </w:rPr>
          <w:t>www.telerecours.fr</w:t>
        </w:r>
      </w:hyperlink>
      <w:r w:rsidRPr="001C379C">
        <w:rPr>
          <w:rFonts w:ascii="Arial" w:hAnsi="Arial" w:cs="Arial"/>
          <w:szCs w:val="20"/>
        </w:rPr>
        <w:t>.</w:t>
      </w:r>
    </w:p>
    <w:p w:rsidR="001C379C" w:rsidRPr="001C379C" w:rsidRDefault="001C379C" w:rsidP="001C379C">
      <w:pPr>
        <w:ind w:left="1418" w:hanging="1418"/>
        <w:rPr>
          <w:rFonts w:ascii="Arial" w:hAnsi="Arial" w:cs="Arial"/>
          <w:b/>
          <w:bCs/>
          <w:szCs w:val="20"/>
        </w:rPr>
      </w:pPr>
    </w:p>
    <w:p w:rsidR="001C379C" w:rsidRPr="001C379C" w:rsidRDefault="001C379C" w:rsidP="00021425">
      <w:pPr>
        <w:spacing w:line="360" w:lineRule="auto"/>
        <w:ind w:left="1418" w:hanging="1418"/>
        <w:rPr>
          <w:rFonts w:ascii="Arial" w:hAnsi="Arial" w:cs="Arial"/>
          <w:szCs w:val="20"/>
        </w:rPr>
      </w:pPr>
      <w:r w:rsidRPr="001C379C">
        <w:rPr>
          <w:rFonts w:ascii="Arial" w:hAnsi="Arial" w:cs="Arial"/>
          <w:b/>
          <w:bCs/>
          <w:szCs w:val="20"/>
        </w:rPr>
        <w:t xml:space="preserve">ADOPTÉ </w:t>
      </w:r>
      <w:r w:rsidRPr="001C379C">
        <w:rPr>
          <w:rFonts w:ascii="Arial" w:hAnsi="Arial" w:cs="Arial"/>
          <w:szCs w:val="20"/>
        </w:rPr>
        <w:t xml:space="preserve">: </w:t>
      </w:r>
      <w:r w:rsidRPr="001C379C">
        <w:rPr>
          <w:rFonts w:ascii="Arial" w:hAnsi="Arial" w:cs="Arial"/>
          <w:szCs w:val="20"/>
        </w:rPr>
        <w:tab/>
        <w:t>à l’unanimité des membres présents</w:t>
      </w:r>
    </w:p>
    <w:p w:rsidR="001C379C" w:rsidRPr="001C379C" w:rsidRDefault="001C379C" w:rsidP="00021425">
      <w:pPr>
        <w:spacing w:line="360" w:lineRule="auto"/>
        <w:ind w:left="992" w:firstLine="424"/>
        <w:rPr>
          <w:rFonts w:ascii="Arial" w:hAnsi="Arial" w:cs="Arial"/>
          <w:szCs w:val="20"/>
        </w:rPr>
      </w:pPr>
      <w:proofErr w:type="gramStart"/>
      <w:r w:rsidRPr="001C379C">
        <w:rPr>
          <w:rFonts w:ascii="Arial" w:hAnsi="Arial" w:cs="Arial"/>
          <w:szCs w:val="20"/>
        </w:rPr>
        <w:t>ou</w:t>
      </w:r>
      <w:proofErr w:type="gramEnd"/>
    </w:p>
    <w:p w:rsidR="001C379C" w:rsidRPr="001C379C" w:rsidRDefault="001C379C" w:rsidP="00021425">
      <w:pPr>
        <w:spacing w:line="360" w:lineRule="auto"/>
        <w:ind w:left="992" w:firstLine="425"/>
        <w:rPr>
          <w:rFonts w:ascii="Arial" w:hAnsi="Arial" w:cs="Arial"/>
          <w:szCs w:val="20"/>
        </w:rPr>
      </w:pPr>
      <w:proofErr w:type="gramStart"/>
      <w:r w:rsidRPr="001C379C">
        <w:rPr>
          <w:rFonts w:ascii="Arial" w:hAnsi="Arial" w:cs="Arial"/>
          <w:szCs w:val="20"/>
        </w:rPr>
        <w:t>à</w:t>
      </w:r>
      <w:proofErr w:type="gramEnd"/>
      <w:r w:rsidRPr="001C379C">
        <w:rPr>
          <w:rFonts w:ascii="Arial" w:hAnsi="Arial" w:cs="Arial"/>
          <w:szCs w:val="20"/>
        </w:rPr>
        <w:t xml:space="preserve"> ... voix pour</w:t>
      </w:r>
    </w:p>
    <w:p w:rsidR="001C379C" w:rsidRPr="001C379C" w:rsidRDefault="001C379C" w:rsidP="00021425">
      <w:pPr>
        <w:spacing w:line="360" w:lineRule="auto"/>
        <w:ind w:left="992" w:firstLine="425"/>
        <w:rPr>
          <w:rFonts w:ascii="Arial" w:hAnsi="Arial" w:cs="Arial"/>
          <w:szCs w:val="20"/>
        </w:rPr>
      </w:pPr>
      <w:proofErr w:type="gramStart"/>
      <w:r w:rsidRPr="001C379C">
        <w:rPr>
          <w:rFonts w:ascii="Arial" w:hAnsi="Arial" w:cs="Arial"/>
          <w:szCs w:val="20"/>
        </w:rPr>
        <w:t>à</w:t>
      </w:r>
      <w:proofErr w:type="gramEnd"/>
      <w:r w:rsidRPr="001C379C">
        <w:rPr>
          <w:rFonts w:ascii="Arial" w:hAnsi="Arial" w:cs="Arial"/>
          <w:szCs w:val="20"/>
        </w:rPr>
        <w:t xml:space="preserve"> ... voix contre</w:t>
      </w:r>
    </w:p>
    <w:p w:rsidR="001C379C" w:rsidRPr="001C379C" w:rsidRDefault="001C379C" w:rsidP="00021425">
      <w:pPr>
        <w:spacing w:line="360" w:lineRule="auto"/>
        <w:ind w:left="992" w:firstLine="425"/>
        <w:rPr>
          <w:rFonts w:ascii="Arial" w:hAnsi="Arial" w:cs="Arial"/>
          <w:i/>
          <w:iCs/>
          <w:szCs w:val="20"/>
        </w:rPr>
      </w:pPr>
      <w:proofErr w:type="gramStart"/>
      <w:r w:rsidRPr="001C379C">
        <w:rPr>
          <w:rFonts w:ascii="Arial" w:hAnsi="Arial" w:cs="Arial"/>
          <w:szCs w:val="20"/>
        </w:rPr>
        <w:t>à</w:t>
      </w:r>
      <w:proofErr w:type="gramEnd"/>
      <w:r w:rsidRPr="001C379C">
        <w:rPr>
          <w:rFonts w:ascii="Arial" w:hAnsi="Arial" w:cs="Arial"/>
          <w:szCs w:val="20"/>
        </w:rPr>
        <w:t xml:space="preserve"> ... abstention</w:t>
      </w:r>
      <w:r w:rsidRPr="001C379C">
        <w:rPr>
          <w:rFonts w:ascii="Arial" w:hAnsi="Arial" w:cs="Arial"/>
          <w:i/>
          <w:iCs/>
          <w:szCs w:val="20"/>
        </w:rPr>
        <w:t>(s)</w:t>
      </w:r>
    </w:p>
    <w:p w:rsidR="001C379C" w:rsidRPr="001C379C" w:rsidRDefault="001C379C" w:rsidP="001C379C">
      <w:pPr>
        <w:tabs>
          <w:tab w:val="left" w:pos="4820"/>
          <w:tab w:val="right" w:pos="6663"/>
          <w:tab w:val="right" w:pos="9923"/>
        </w:tabs>
        <w:rPr>
          <w:rFonts w:ascii="Arial" w:hAnsi="Arial" w:cs="Arial"/>
          <w:szCs w:val="20"/>
        </w:rPr>
      </w:pPr>
      <w:r w:rsidRPr="001C379C">
        <w:rPr>
          <w:rFonts w:ascii="Arial" w:hAnsi="Arial" w:cs="Arial"/>
          <w:szCs w:val="20"/>
        </w:rPr>
        <w:tab/>
      </w:r>
    </w:p>
    <w:p w:rsidR="001C379C" w:rsidRPr="001C379C" w:rsidRDefault="001C379C" w:rsidP="00021425">
      <w:pPr>
        <w:tabs>
          <w:tab w:val="left" w:pos="4820"/>
          <w:tab w:val="right" w:pos="6663"/>
          <w:tab w:val="right" w:pos="9923"/>
        </w:tabs>
        <w:spacing w:line="360" w:lineRule="auto"/>
        <w:rPr>
          <w:rFonts w:ascii="Arial" w:hAnsi="Arial" w:cs="Arial"/>
          <w:szCs w:val="20"/>
        </w:rPr>
      </w:pPr>
      <w:r w:rsidRPr="001C379C">
        <w:rPr>
          <w:rFonts w:ascii="Arial" w:hAnsi="Arial" w:cs="Arial"/>
          <w:szCs w:val="20"/>
        </w:rPr>
        <w:tab/>
        <w:t>Fait et délibéré en séance le …,</w:t>
      </w:r>
    </w:p>
    <w:p w:rsidR="001C379C" w:rsidRPr="001C379C" w:rsidRDefault="001C379C" w:rsidP="00021425">
      <w:pPr>
        <w:tabs>
          <w:tab w:val="left" w:pos="4820"/>
          <w:tab w:val="right" w:pos="6663"/>
          <w:tab w:val="right" w:pos="9923"/>
        </w:tabs>
        <w:spacing w:line="360" w:lineRule="auto"/>
        <w:rPr>
          <w:rFonts w:ascii="Arial" w:hAnsi="Arial" w:cs="Arial"/>
          <w:i/>
          <w:szCs w:val="20"/>
        </w:rPr>
      </w:pPr>
      <w:r w:rsidRPr="001C379C">
        <w:rPr>
          <w:rFonts w:ascii="Arial" w:hAnsi="Arial" w:cs="Arial"/>
          <w:szCs w:val="20"/>
        </w:rPr>
        <w:tab/>
      </w:r>
      <w:r w:rsidRPr="001C379C">
        <w:rPr>
          <w:rFonts w:ascii="Arial" w:hAnsi="Arial" w:cs="Arial"/>
          <w:i/>
          <w:szCs w:val="20"/>
        </w:rPr>
        <w:t>Prénom, nom et qualité du signataire</w:t>
      </w:r>
    </w:p>
    <w:p w:rsidR="001C379C" w:rsidRPr="001C379C" w:rsidRDefault="001C379C" w:rsidP="001C379C">
      <w:pPr>
        <w:tabs>
          <w:tab w:val="left" w:pos="4820"/>
          <w:tab w:val="right" w:pos="6663"/>
          <w:tab w:val="right" w:pos="9923"/>
        </w:tabs>
        <w:rPr>
          <w:rFonts w:ascii="Arial" w:hAnsi="Arial" w:cs="Arial"/>
          <w:i/>
          <w:iCs/>
          <w:szCs w:val="20"/>
          <w:u w:val="single"/>
        </w:rPr>
      </w:pPr>
    </w:p>
    <w:p w:rsidR="001C379C" w:rsidRPr="001C379C" w:rsidRDefault="001C379C" w:rsidP="001C379C">
      <w:pPr>
        <w:pStyle w:val="Paragraphedeliste"/>
        <w:numPr>
          <w:ilvl w:val="0"/>
          <w:numId w:val="14"/>
        </w:numPr>
        <w:tabs>
          <w:tab w:val="left" w:pos="4820"/>
          <w:tab w:val="right" w:pos="6663"/>
          <w:tab w:val="right" w:pos="9923"/>
        </w:tabs>
        <w:spacing w:before="0" w:after="160" w:line="259" w:lineRule="auto"/>
        <w:jc w:val="left"/>
        <w:rPr>
          <w:rFonts w:ascii="Arial" w:hAnsi="Arial" w:cs="Arial"/>
          <w:iCs/>
          <w:color w:val="auto"/>
          <w:szCs w:val="20"/>
        </w:rPr>
      </w:pPr>
      <w:r w:rsidRPr="001C379C">
        <w:rPr>
          <w:rFonts w:ascii="Arial" w:hAnsi="Arial" w:cs="Arial"/>
          <w:iCs/>
          <w:color w:val="auto"/>
          <w:szCs w:val="20"/>
        </w:rPr>
        <w:t>Transmis au représentant de l’État le : …</w:t>
      </w:r>
    </w:p>
    <w:p w:rsidR="001C379C" w:rsidRPr="001C379C" w:rsidRDefault="001C379C" w:rsidP="001C379C">
      <w:pPr>
        <w:pStyle w:val="Paragraphedeliste"/>
        <w:numPr>
          <w:ilvl w:val="0"/>
          <w:numId w:val="14"/>
        </w:numPr>
        <w:tabs>
          <w:tab w:val="left" w:pos="4820"/>
          <w:tab w:val="right" w:pos="6663"/>
          <w:tab w:val="right" w:pos="9923"/>
        </w:tabs>
        <w:spacing w:before="0" w:after="160" w:line="259" w:lineRule="auto"/>
        <w:jc w:val="left"/>
        <w:rPr>
          <w:rFonts w:ascii="Arial" w:hAnsi="Arial" w:cs="Arial"/>
          <w:iCs/>
          <w:color w:val="auto"/>
          <w:szCs w:val="20"/>
        </w:rPr>
      </w:pPr>
      <w:r w:rsidRPr="001C379C">
        <w:rPr>
          <w:rFonts w:ascii="Arial" w:hAnsi="Arial" w:cs="Arial"/>
          <w:iCs/>
          <w:color w:val="auto"/>
          <w:szCs w:val="20"/>
        </w:rPr>
        <w:t xml:space="preserve"> Publié le : …</w:t>
      </w:r>
    </w:p>
    <w:p w:rsidR="000F7CD1" w:rsidRPr="001C379C" w:rsidRDefault="000F7CD1" w:rsidP="001C379C">
      <w:pPr>
        <w:pStyle w:val="Titre"/>
        <w:spacing w:before="100" w:beforeAutospacing="1" w:after="100" w:afterAutospacing="1"/>
        <w:rPr>
          <w:color w:val="auto"/>
          <w:sz w:val="22"/>
          <w:szCs w:val="22"/>
        </w:rPr>
      </w:pPr>
    </w:p>
    <w:sectPr w:rsidR="000F7CD1" w:rsidRPr="001C379C" w:rsidSect="00097815">
      <w:headerReference w:type="default" r:id="rId9"/>
      <w:footerReference w:type="default" r:id="rId10"/>
      <w:headerReference w:type="first" r:id="rId11"/>
      <w:footerReference w:type="first" r:id="rId12"/>
      <w:pgSz w:w="11906" w:h="16838"/>
      <w:pgMar w:top="851"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815" w:rsidRDefault="00097815" w:rsidP="007453AA">
      <w:pPr>
        <w:spacing w:after="0"/>
      </w:pPr>
      <w:r>
        <w:separator/>
      </w:r>
    </w:p>
  </w:endnote>
  <w:endnote w:type="continuationSeparator" w:id="0">
    <w:p w:rsidR="00097815" w:rsidRDefault="00097815" w:rsidP="007453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425" w:rsidRPr="00F56FDB" w:rsidRDefault="00021425" w:rsidP="00021425">
    <w:pPr>
      <w:pStyle w:val="Pieddepage"/>
      <w:tabs>
        <w:tab w:val="clear" w:pos="4536"/>
        <w:tab w:val="clear" w:pos="9072"/>
        <w:tab w:val="right" w:pos="9638"/>
      </w:tabs>
      <w:spacing w:line="276" w:lineRule="auto"/>
      <w:rPr>
        <w:rFonts w:ascii="Arial" w:hAnsi="Arial" w:cs="Arial"/>
        <w:color w:val="EDA0AD" w:themeColor="background2" w:themeTint="66"/>
        <w:sz w:val="16"/>
        <w:szCs w:val="18"/>
      </w:rPr>
    </w:pPr>
    <w:r w:rsidRPr="00F56FDB">
      <w:rPr>
        <w:rFonts w:ascii="Arial" w:hAnsi="Arial" w:cs="Arial"/>
        <w:b/>
        <w:color w:val="EDA0AD" w:themeColor="background2" w:themeTint="66"/>
        <w:sz w:val="16"/>
        <w:szCs w:val="18"/>
      </w:rPr>
      <w:t>Centre de Gestion de la fonction publique territoriale de Loire-Atlantique</w:t>
    </w:r>
    <w:r w:rsidRPr="00F56FDB">
      <w:rPr>
        <w:rFonts w:ascii="Arial" w:hAnsi="Arial" w:cs="Arial"/>
        <w:color w:val="EDA0AD" w:themeColor="background2" w:themeTint="66"/>
        <w:sz w:val="16"/>
        <w:szCs w:val="18"/>
      </w:rPr>
      <w:tab/>
      <w:t xml:space="preserve">02 40 20 00 71 </w:t>
    </w:r>
  </w:p>
  <w:p w:rsidR="00990FF8" w:rsidRPr="00F56FDB" w:rsidRDefault="00021425" w:rsidP="00990FF8">
    <w:pPr>
      <w:pStyle w:val="Pieddepage"/>
      <w:tabs>
        <w:tab w:val="clear" w:pos="4536"/>
        <w:tab w:val="clear" w:pos="9072"/>
        <w:tab w:val="right" w:pos="9638"/>
      </w:tabs>
      <w:spacing w:line="276" w:lineRule="auto"/>
      <w:rPr>
        <w:rFonts w:ascii="Arial" w:hAnsi="Arial" w:cs="Arial"/>
        <w:color w:val="EDA0AD" w:themeColor="background2" w:themeTint="66"/>
        <w:sz w:val="16"/>
        <w:szCs w:val="18"/>
      </w:rPr>
    </w:pPr>
    <w:r w:rsidRPr="00F56FDB">
      <w:rPr>
        <w:rFonts w:ascii="Arial" w:hAnsi="Arial" w:cs="Arial"/>
        <w:color w:val="EDA0AD" w:themeColor="background2" w:themeTint="66"/>
        <w:sz w:val="16"/>
        <w:szCs w:val="18"/>
      </w:rPr>
      <w:t xml:space="preserve">6 rue du Pen </w:t>
    </w:r>
    <w:proofErr w:type="spellStart"/>
    <w:r w:rsidRPr="00F56FDB">
      <w:rPr>
        <w:rFonts w:ascii="Arial" w:hAnsi="Arial" w:cs="Arial"/>
        <w:color w:val="EDA0AD" w:themeColor="background2" w:themeTint="66"/>
        <w:sz w:val="16"/>
        <w:szCs w:val="18"/>
      </w:rPr>
      <w:t>Duick</w:t>
    </w:r>
    <w:proofErr w:type="spellEnd"/>
    <w:r w:rsidRPr="00F56FDB">
      <w:rPr>
        <w:rFonts w:ascii="Arial" w:hAnsi="Arial" w:cs="Arial"/>
        <w:color w:val="EDA0AD" w:themeColor="background2" w:themeTint="66"/>
        <w:sz w:val="16"/>
        <w:szCs w:val="18"/>
      </w:rPr>
      <w:t xml:space="preserve"> II – CS 66225 – 44262 NANTES Cedex 2</w:t>
    </w:r>
    <w:r w:rsidRPr="00F56FDB">
      <w:rPr>
        <w:rFonts w:ascii="Arial" w:hAnsi="Arial" w:cs="Arial"/>
        <w:color w:val="EDA0AD" w:themeColor="background2" w:themeTint="66"/>
        <w:sz w:val="16"/>
        <w:szCs w:val="18"/>
      </w:rPr>
      <w:tab/>
      <w:t>www.cdg44.fr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9C" w:rsidRPr="00F56FDB" w:rsidRDefault="001C379C" w:rsidP="001C379C">
    <w:pPr>
      <w:pStyle w:val="Pieddepage"/>
      <w:tabs>
        <w:tab w:val="clear" w:pos="4536"/>
        <w:tab w:val="clear" w:pos="9072"/>
        <w:tab w:val="right" w:pos="9638"/>
      </w:tabs>
      <w:spacing w:line="276" w:lineRule="auto"/>
      <w:rPr>
        <w:rFonts w:ascii="Arial" w:hAnsi="Arial" w:cs="Arial"/>
        <w:color w:val="EDA0AD" w:themeColor="background2" w:themeTint="66"/>
        <w:sz w:val="16"/>
        <w:szCs w:val="18"/>
      </w:rPr>
    </w:pPr>
    <w:r w:rsidRPr="00F56FDB">
      <w:rPr>
        <w:rFonts w:ascii="Arial" w:hAnsi="Arial" w:cs="Arial"/>
        <w:b/>
        <w:color w:val="EDA0AD" w:themeColor="background2" w:themeTint="66"/>
        <w:sz w:val="16"/>
        <w:szCs w:val="18"/>
      </w:rPr>
      <w:t>Centre de Gestion de la fonction publique territoriale de Loire-Atlantique</w:t>
    </w:r>
    <w:r w:rsidRPr="00F56FDB">
      <w:rPr>
        <w:rFonts w:ascii="Arial" w:hAnsi="Arial" w:cs="Arial"/>
        <w:color w:val="EDA0AD" w:themeColor="background2" w:themeTint="66"/>
        <w:sz w:val="16"/>
        <w:szCs w:val="18"/>
      </w:rPr>
      <w:tab/>
      <w:t xml:space="preserve">02 40 20 00 71 </w:t>
    </w:r>
  </w:p>
  <w:p w:rsidR="001C379C" w:rsidRPr="001C379C" w:rsidRDefault="001C379C" w:rsidP="001C379C">
    <w:pPr>
      <w:pStyle w:val="Pieddepage"/>
      <w:tabs>
        <w:tab w:val="clear" w:pos="4536"/>
        <w:tab w:val="clear" w:pos="9072"/>
        <w:tab w:val="right" w:pos="9638"/>
      </w:tabs>
      <w:spacing w:line="276" w:lineRule="auto"/>
      <w:rPr>
        <w:rFonts w:ascii="Arial" w:hAnsi="Arial" w:cs="Arial"/>
        <w:color w:val="EDA0AD" w:themeColor="background2" w:themeTint="66"/>
        <w:sz w:val="16"/>
        <w:szCs w:val="18"/>
      </w:rPr>
    </w:pPr>
    <w:r w:rsidRPr="00F56FDB">
      <w:rPr>
        <w:rFonts w:ascii="Arial" w:hAnsi="Arial" w:cs="Arial"/>
        <w:color w:val="EDA0AD" w:themeColor="background2" w:themeTint="66"/>
        <w:sz w:val="16"/>
        <w:szCs w:val="18"/>
      </w:rPr>
      <w:t xml:space="preserve">6 rue du Pen </w:t>
    </w:r>
    <w:proofErr w:type="spellStart"/>
    <w:r w:rsidRPr="00F56FDB">
      <w:rPr>
        <w:rFonts w:ascii="Arial" w:hAnsi="Arial" w:cs="Arial"/>
        <w:color w:val="EDA0AD" w:themeColor="background2" w:themeTint="66"/>
        <w:sz w:val="16"/>
        <w:szCs w:val="18"/>
      </w:rPr>
      <w:t>Duick</w:t>
    </w:r>
    <w:proofErr w:type="spellEnd"/>
    <w:r w:rsidRPr="00F56FDB">
      <w:rPr>
        <w:rFonts w:ascii="Arial" w:hAnsi="Arial" w:cs="Arial"/>
        <w:color w:val="EDA0AD" w:themeColor="background2" w:themeTint="66"/>
        <w:sz w:val="16"/>
        <w:szCs w:val="18"/>
      </w:rPr>
      <w:t xml:space="preserve"> II – CS 66225 – 44262 NANTES Cedex 2</w:t>
    </w:r>
    <w:r w:rsidRPr="00F56FDB">
      <w:rPr>
        <w:rFonts w:ascii="Arial" w:hAnsi="Arial" w:cs="Arial"/>
        <w:color w:val="EDA0AD" w:themeColor="background2" w:themeTint="66"/>
        <w:sz w:val="16"/>
        <w:szCs w:val="18"/>
      </w:rPr>
      <w:tab/>
      <w:t>www.cdg44.fr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815" w:rsidRDefault="00097815" w:rsidP="007453AA">
      <w:pPr>
        <w:spacing w:after="0"/>
      </w:pPr>
      <w:r>
        <w:separator/>
      </w:r>
    </w:p>
  </w:footnote>
  <w:footnote w:type="continuationSeparator" w:id="0">
    <w:p w:rsidR="00097815" w:rsidRDefault="00097815" w:rsidP="007453A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FDB" w:rsidRPr="00CA4CAE" w:rsidRDefault="00F56FDB" w:rsidP="00CA4CAE">
    <w:pPr>
      <w:pStyle w:val="En-tte"/>
      <w:tabs>
        <w:tab w:val="clear" w:pos="4536"/>
        <w:tab w:val="center" w:pos="4253"/>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9C" w:rsidRPr="00E16666" w:rsidRDefault="001C379C" w:rsidP="001C379C">
    <w:pPr>
      <w:pStyle w:val="En-tte"/>
      <w:ind w:left="7230"/>
      <w:jc w:val="left"/>
      <w:rPr>
        <w:b/>
      </w:rPr>
    </w:pPr>
    <w:r w:rsidRPr="00E16666">
      <w:rPr>
        <w:rFonts w:ascii="Verdana" w:hAnsi="Verdana"/>
        <w:b/>
        <w:sz w:val="18"/>
        <w:szCs w:val="18"/>
      </w:rPr>
      <w:t>NOVEMBRE 2023</w:t>
    </w:r>
  </w:p>
  <w:p w:rsidR="00097815" w:rsidRDefault="0009781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9501192"/>
    <w:lvl w:ilvl="0">
      <w:start w:val="1"/>
      <w:numFmt w:val="decimal"/>
      <w:pStyle w:val="Listenumros"/>
      <w:lvlText w:val="%1."/>
      <w:lvlJc w:val="left"/>
      <w:pPr>
        <w:tabs>
          <w:tab w:val="num" w:pos="360"/>
        </w:tabs>
        <w:ind w:left="360" w:hanging="360"/>
      </w:pPr>
    </w:lvl>
  </w:abstractNum>
  <w:abstractNum w:abstractNumId="1" w15:restartNumberingAfterBreak="0">
    <w:nsid w:val="FFFFFF89"/>
    <w:multiLevelType w:val="singleLevel"/>
    <w:tmpl w:val="1FC2BA82"/>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71B495D"/>
    <w:multiLevelType w:val="hybridMultilevel"/>
    <w:tmpl w:val="B1628822"/>
    <w:lvl w:ilvl="0" w:tplc="7804A58E">
      <w:start w:val="1"/>
      <w:numFmt w:val="bullet"/>
      <w:lvlText w:val=""/>
      <w:lvlJc w:val="left"/>
      <w:pPr>
        <w:ind w:left="720" w:hanging="360"/>
      </w:pPr>
      <w:rPr>
        <w:rFonts w:ascii="Symbol" w:hAnsi="Symbol" w:hint="default"/>
        <w:color w:val="662483"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C101C3"/>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4" w15:restartNumberingAfterBreak="0">
    <w:nsid w:val="24ED626F"/>
    <w:multiLevelType w:val="hybridMultilevel"/>
    <w:tmpl w:val="2D58FFA4"/>
    <w:lvl w:ilvl="0" w:tplc="576A16B8">
      <w:start w:val="1"/>
      <w:numFmt w:val="bullet"/>
      <w:lvlText w:val=""/>
      <w:lvlJc w:val="left"/>
      <w:pPr>
        <w:ind w:left="720" w:hanging="360"/>
      </w:pPr>
      <w:rPr>
        <w:rFonts w:ascii="Symbol" w:hAnsi="Symbol" w:hint="default"/>
        <w:color w:val="C1243F"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C93220"/>
    <w:multiLevelType w:val="hybridMultilevel"/>
    <w:tmpl w:val="744291E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9CF1661"/>
    <w:multiLevelType w:val="hybridMultilevel"/>
    <w:tmpl w:val="6862175A"/>
    <w:lvl w:ilvl="0" w:tplc="97AC2972">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283BB5"/>
    <w:multiLevelType w:val="hybridMultilevel"/>
    <w:tmpl w:val="0EB8FD48"/>
    <w:lvl w:ilvl="0" w:tplc="182CBF36">
      <w:start w:val="1"/>
      <w:numFmt w:val="bullet"/>
      <w:pStyle w:val="PuceVU"/>
      <w:lvlText w:val="›"/>
      <w:lvlJc w:val="left"/>
      <w:pPr>
        <w:ind w:left="360" w:hanging="360"/>
      </w:pPr>
      <w:rPr>
        <w:rFonts w:ascii="Arial Black" w:hAnsi="Arial Black" w:hint="default"/>
        <w:b/>
        <w:i w:val="0"/>
        <w:color w:val="E4C9F0" w:themeColor="accent2"/>
        <w:spacing w:val="0"/>
        <w:w w:val="100"/>
        <w:kern w:val="0"/>
        <w:position w:val="0"/>
        <w:sz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4B834AF"/>
    <w:multiLevelType w:val="hybridMultilevel"/>
    <w:tmpl w:val="C5B40386"/>
    <w:lvl w:ilvl="0" w:tplc="35D6DAE0">
      <w:start w:val="17"/>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7454BE"/>
    <w:multiLevelType w:val="hybridMultilevel"/>
    <w:tmpl w:val="8E4C9546"/>
    <w:lvl w:ilvl="0" w:tplc="040C000F">
      <w:start w:val="1"/>
      <w:numFmt w:val="decimal"/>
      <w:lvlText w:val="%1."/>
      <w:lvlJc w:val="left"/>
      <w:pPr>
        <w:ind w:left="720" w:hanging="360"/>
      </w:pPr>
      <w:rPr>
        <w:rFonts w:hint="default"/>
        <w:color w:val="FCC700"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C1097B"/>
    <w:multiLevelType w:val="hybridMultilevel"/>
    <w:tmpl w:val="D9E84E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04B4E81"/>
    <w:multiLevelType w:val="multilevel"/>
    <w:tmpl w:val="040C001D"/>
    <w:styleLink w:val="1ai"/>
    <w:lvl w:ilvl="0">
      <w:start w:val="1"/>
      <w:numFmt w:val="decimal"/>
      <w:lvlText w:val="%1)"/>
      <w:lvlJc w:val="left"/>
      <w:pPr>
        <w:ind w:left="360" w:hanging="360"/>
      </w:pPr>
      <w:rPr>
        <w:rFonts w:asciiTheme="majorHAnsi" w:hAnsiTheme="majorHAnsi"/>
        <w:color w:val="662483"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A9122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52536B6"/>
    <w:multiLevelType w:val="hybridMultilevel"/>
    <w:tmpl w:val="D6D656D8"/>
    <w:lvl w:ilvl="0" w:tplc="099855F4">
      <w:start w:val="1"/>
      <w:numFmt w:val="bullet"/>
      <w:pStyle w:val="Puces"/>
      <w:lvlText w:val=""/>
      <w:lvlJc w:val="left"/>
      <w:pPr>
        <w:ind w:left="720" w:hanging="360"/>
      </w:pPr>
      <w:rPr>
        <w:rFonts w:ascii="Symbol" w:hAnsi="Symbol" w:hint="default"/>
        <w:color w:val="FCC700"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3B089C"/>
    <w:multiLevelType w:val="hybridMultilevel"/>
    <w:tmpl w:val="F382574E"/>
    <w:lvl w:ilvl="0" w:tplc="56C2D51A">
      <w:start w:val="1"/>
      <w:numFmt w:val="bullet"/>
      <w:lvlText w:val=""/>
      <w:lvlJc w:val="left"/>
      <w:pPr>
        <w:ind w:left="720" w:hanging="360"/>
      </w:pPr>
      <w:rPr>
        <w:rFonts w:ascii="Symbol" w:hAnsi="Symbol" w:hint="default"/>
        <w:color w:val="FCC700"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345F33"/>
    <w:multiLevelType w:val="multilevel"/>
    <w:tmpl w:val="040C001F"/>
    <w:styleLink w:val="111111"/>
    <w:lvl w:ilvl="0">
      <w:start w:val="1"/>
      <w:numFmt w:val="decimal"/>
      <w:lvlText w:val="%1."/>
      <w:lvlJc w:val="left"/>
      <w:pPr>
        <w:ind w:left="360" w:hanging="360"/>
      </w:pPr>
      <w:rPr>
        <w:rFonts w:asciiTheme="majorHAnsi" w:hAnsiTheme="majorHAnsi"/>
        <w:color w:val="662483" w:themeColor="text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3356A8"/>
    <w:multiLevelType w:val="hybridMultilevel"/>
    <w:tmpl w:val="D6E8076A"/>
    <w:lvl w:ilvl="0" w:tplc="2370E20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623220"/>
    <w:multiLevelType w:val="hybridMultilevel"/>
    <w:tmpl w:val="4AEA85A4"/>
    <w:lvl w:ilvl="0" w:tplc="040C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1"/>
  </w:num>
  <w:num w:numId="4">
    <w:abstractNumId w:val="3"/>
  </w:num>
  <w:num w:numId="5">
    <w:abstractNumId w:val="1"/>
  </w:num>
  <w:num w:numId="6">
    <w:abstractNumId w:val="0"/>
  </w:num>
  <w:num w:numId="7">
    <w:abstractNumId w:val="13"/>
  </w:num>
  <w:num w:numId="8">
    <w:abstractNumId w:val="16"/>
  </w:num>
  <w:num w:numId="9">
    <w:abstractNumId w:val="14"/>
  </w:num>
  <w:num w:numId="10">
    <w:abstractNumId w:val="2"/>
  </w:num>
  <w:num w:numId="11">
    <w:abstractNumId w:val="9"/>
  </w:num>
  <w:num w:numId="12">
    <w:abstractNumId w:val="4"/>
  </w:num>
  <w:num w:numId="13">
    <w:abstractNumId w:val="7"/>
  </w:num>
  <w:num w:numId="14">
    <w:abstractNumId w:val="8"/>
  </w:num>
  <w:num w:numId="15">
    <w:abstractNumId w:val="6"/>
  </w:num>
  <w:num w:numId="16">
    <w:abstractNumId w:val="17"/>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15"/>
    <w:rsid w:val="00021425"/>
    <w:rsid w:val="00064501"/>
    <w:rsid w:val="00097815"/>
    <w:rsid w:val="000F7CD1"/>
    <w:rsid w:val="001B5AB0"/>
    <w:rsid w:val="001C379C"/>
    <w:rsid w:val="002357AB"/>
    <w:rsid w:val="002C244F"/>
    <w:rsid w:val="00351A3D"/>
    <w:rsid w:val="003D7089"/>
    <w:rsid w:val="00442B08"/>
    <w:rsid w:val="00510FFD"/>
    <w:rsid w:val="00516B4D"/>
    <w:rsid w:val="005A431A"/>
    <w:rsid w:val="005A70B2"/>
    <w:rsid w:val="005D4B1E"/>
    <w:rsid w:val="00601682"/>
    <w:rsid w:val="006243C8"/>
    <w:rsid w:val="00674144"/>
    <w:rsid w:val="007453AA"/>
    <w:rsid w:val="00896B41"/>
    <w:rsid w:val="008E2C38"/>
    <w:rsid w:val="00943467"/>
    <w:rsid w:val="00990FF8"/>
    <w:rsid w:val="009B73C6"/>
    <w:rsid w:val="00A044F1"/>
    <w:rsid w:val="00A41D10"/>
    <w:rsid w:val="00A562EC"/>
    <w:rsid w:val="00AF0929"/>
    <w:rsid w:val="00B51400"/>
    <w:rsid w:val="00B82D6A"/>
    <w:rsid w:val="00C17850"/>
    <w:rsid w:val="00C47F39"/>
    <w:rsid w:val="00C50FAD"/>
    <w:rsid w:val="00C709FF"/>
    <w:rsid w:val="00CA4CAE"/>
    <w:rsid w:val="00CE5A14"/>
    <w:rsid w:val="00D3715C"/>
    <w:rsid w:val="00D56224"/>
    <w:rsid w:val="00D621AA"/>
    <w:rsid w:val="00E34E02"/>
    <w:rsid w:val="00E41B47"/>
    <w:rsid w:val="00E46C4E"/>
    <w:rsid w:val="00E56D87"/>
    <w:rsid w:val="00E92971"/>
    <w:rsid w:val="00F153D4"/>
    <w:rsid w:val="00F51CA6"/>
    <w:rsid w:val="00F56FDB"/>
    <w:rsid w:val="00F71F80"/>
    <w:rsid w:val="00FB4E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5379FDF-CF29-4365-B8CF-93AAD07F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31A"/>
    <w:pPr>
      <w:spacing w:before="120" w:after="120" w:line="240" w:lineRule="auto"/>
      <w:contextualSpacing/>
      <w:jc w:val="both"/>
    </w:pPr>
    <w:rPr>
      <w:sz w:val="20"/>
    </w:rPr>
  </w:style>
  <w:style w:type="paragraph" w:styleId="Titre1">
    <w:name w:val="heading 1"/>
    <w:basedOn w:val="Normal"/>
    <w:next w:val="Normal"/>
    <w:link w:val="Titre1Car"/>
    <w:uiPriority w:val="9"/>
    <w:qFormat/>
    <w:rsid w:val="00943467"/>
    <w:pPr>
      <w:keepNext/>
      <w:keepLines/>
      <w:outlineLvl w:val="0"/>
    </w:pPr>
    <w:rPr>
      <w:rFonts w:asciiTheme="majorHAnsi" w:eastAsiaTheme="majorEastAsia" w:hAnsiTheme="majorHAnsi" w:cstheme="majorBidi"/>
      <w:b/>
      <w:color w:val="662483" w:themeColor="text2"/>
      <w:sz w:val="32"/>
      <w:szCs w:val="32"/>
    </w:rPr>
  </w:style>
  <w:style w:type="paragraph" w:styleId="Titre2">
    <w:name w:val="heading 2"/>
    <w:basedOn w:val="Normal"/>
    <w:next w:val="Normal"/>
    <w:link w:val="Titre2Car"/>
    <w:uiPriority w:val="9"/>
    <w:unhideWhenUsed/>
    <w:qFormat/>
    <w:rsid w:val="002C244F"/>
    <w:pPr>
      <w:keepNext/>
      <w:keepLines/>
      <w:outlineLvl w:val="1"/>
    </w:pPr>
    <w:rPr>
      <w:rFonts w:asciiTheme="majorHAnsi" w:eastAsiaTheme="majorEastAsia" w:hAnsiTheme="majorHAnsi" w:cstheme="majorBidi"/>
      <w:b/>
      <w:color w:val="662483" w:themeColor="text2"/>
      <w:sz w:val="24"/>
      <w:szCs w:val="26"/>
    </w:rPr>
  </w:style>
  <w:style w:type="paragraph" w:styleId="Titre3">
    <w:name w:val="heading 3"/>
    <w:basedOn w:val="Normal"/>
    <w:next w:val="Normal"/>
    <w:link w:val="Titre3Car"/>
    <w:uiPriority w:val="9"/>
    <w:unhideWhenUsed/>
    <w:qFormat/>
    <w:rsid w:val="005A431A"/>
    <w:pPr>
      <w:keepNext/>
      <w:keepLines/>
      <w:outlineLvl w:val="2"/>
    </w:pPr>
    <w:rPr>
      <w:rFonts w:asciiTheme="majorHAnsi" w:eastAsiaTheme="majorEastAsia" w:hAnsiTheme="majorHAnsi" w:cstheme="majorBidi"/>
      <w:color w:val="662483" w:themeColor="text2"/>
      <w:sz w:val="24"/>
      <w:szCs w:val="24"/>
    </w:rPr>
  </w:style>
  <w:style w:type="paragraph" w:styleId="Titre4">
    <w:name w:val="heading 4"/>
    <w:basedOn w:val="Normal"/>
    <w:next w:val="Normal"/>
    <w:link w:val="Titre4Car"/>
    <w:uiPriority w:val="9"/>
    <w:unhideWhenUsed/>
    <w:qFormat/>
    <w:rsid w:val="005A431A"/>
    <w:pPr>
      <w:keepNext/>
      <w:keepLines/>
      <w:outlineLvl w:val="3"/>
    </w:pPr>
    <w:rPr>
      <w:rFonts w:asciiTheme="majorHAnsi" w:eastAsiaTheme="majorEastAsia" w:hAnsiTheme="majorHAnsi" w:cstheme="majorBidi"/>
      <w:iCs/>
      <w:color w:val="662483" w:themeColor="text2"/>
    </w:rPr>
  </w:style>
  <w:style w:type="paragraph" w:styleId="Titre5">
    <w:name w:val="heading 5"/>
    <w:basedOn w:val="Normal"/>
    <w:next w:val="Normal"/>
    <w:link w:val="Titre5Car"/>
    <w:uiPriority w:val="9"/>
    <w:semiHidden/>
    <w:unhideWhenUsed/>
    <w:rsid w:val="00E56D87"/>
    <w:pPr>
      <w:keepNext/>
      <w:keepLines/>
      <w:numPr>
        <w:ilvl w:val="4"/>
        <w:numId w:val="4"/>
      </w:numPr>
      <w:spacing w:before="40" w:after="0"/>
      <w:outlineLvl w:val="4"/>
    </w:pPr>
    <w:rPr>
      <w:rFonts w:asciiTheme="majorHAnsi" w:eastAsiaTheme="majorEastAsia" w:hAnsiTheme="majorHAnsi" w:cstheme="majorBidi"/>
      <w:color w:val="662483" w:themeColor="text2"/>
    </w:rPr>
  </w:style>
  <w:style w:type="paragraph" w:styleId="Titre6">
    <w:name w:val="heading 6"/>
    <w:basedOn w:val="Normal"/>
    <w:next w:val="Normal"/>
    <w:link w:val="Titre6Car"/>
    <w:uiPriority w:val="9"/>
    <w:semiHidden/>
    <w:unhideWhenUsed/>
    <w:qFormat/>
    <w:rsid w:val="00E56D87"/>
    <w:pPr>
      <w:keepNext/>
      <w:keepLines/>
      <w:numPr>
        <w:ilvl w:val="5"/>
        <w:numId w:val="4"/>
      </w:numPr>
      <w:spacing w:before="40" w:after="0"/>
      <w:outlineLvl w:val="5"/>
    </w:pPr>
    <w:rPr>
      <w:rFonts w:asciiTheme="majorHAnsi" w:eastAsiaTheme="majorEastAsia" w:hAnsiTheme="majorHAnsi" w:cstheme="majorBidi"/>
      <w:color w:val="662483" w:themeColor="text2"/>
    </w:rPr>
  </w:style>
  <w:style w:type="paragraph" w:styleId="Titre7">
    <w:name w:val="heading 7"/>
    <w:basedOn w:val="Normal"/>
    <w:next w:val="Normal"/>
    <w:link w:val="Titre7Car"/>
    <w:uiPriority w:val="9"/>
    <w:semiHidden/>
    <w:unhideWhenUsed/>
    <w:qFormat/>
    <w:rsid w:val="00E56D87"/>
    <w:pPr>
      <w:keepNext/>
      <w:keepLines/>
      <w:numPr>
        <w:ilvl w:val="6"/>
        <w:numId w:val="4"/>
      </w:numPr>
      <w:spacing w:before="40" w:after="0"/>
      <w:outlineLvl w:val="6"/>
    </w:pPr>
    <w:rPr>
      <w:rFonts w:asciiTheme="majorHAnsi" w:eastAsiaTheme="majorEastAsia" w:hAnsiTheme="majorHAnsi" w:cstheme="majorBidi"/>
      <w:i/>
      <w:iCs/>
      <w:color w:val="662483" w:themeColor="text2"/>
    </w:rPr>
  </w:style>
  <w:style w:type="paragraph" w:styleId="Titre8">
    <w:name w:val="heading 8"/>
    <w:basedOn w:val="Normal"/>
    <w:next w:val="Normal"/>
    <w:link w:val="Titre8Car"/>
    <w:uiPriority w:val="9"/>
    <w:semiHidden/>
    <w:unhideWhenUsed/>
    <w:qFormat/>
    <w:rsid w:val="00E56D87"/>
    <w:pPr>
      <w:keepNext/>
      <w:keepLines/>
      <w:numPr>
        <w:ilvl w:val="7"/>
        <w:numId w:val="4"/>
      </w:numPr>
      <w:spacing w:before="40" w:after="0"/>
      <w:outlineLvl w:val="7"/>
    </w:pPr>
    <w:rPr>
      <w:rFonts w:asciiTheme="majorHAnsi" w:eastAsiaTheme="majorEastAsia" w:hAnsiTheme="majorHAnsi" w:cstheme="majorBidi"/>
      <w:color w:val="662483" w:themeColor="text2"/>
      <w:sz w:val="21"/>
      <w:szCs w:val="21"/>
    </w:rPr>
  </w:style>
  <w:style w:type="paragraph" w:styleId="Titre9">
    <w:name w:val="heading 9"/>
    <w:basedOn w:val="Normal"/>
    <w:next w:val="Normal"/>
    <w:link w:val="Titre9Car"/>
    <w:uiPriority w:val="9"/>
    <w:semiHidden/>
    <w:unhideWhenUsed/>
    <w:qFormat/>
    <w:rsid w:val="00E56D87"/>
    <w:pPr>
      <w:keepNext/>
      <w:keepLines/>
      <w:numPr>
        <w:ilvl w:val="8"/>
        <w:numId w:val="4"/>
      </w:numPr>
      <w:spacing w:before="40" w:after="0"/>
      <w:outlineLvl w:val="8"/>
    </w:pPr>
    <w:rPr>
      <w:rFonts w:asciiTheme="majorHAnsi" w:eastAsiaTheme="majorEastAsia" w:hAnsiTheme="majorHAnsi" w:cstheme="majorBidi"/>
      <w:i/>
      <w:iCs/>
      <w:color w:val="662483" w:themeColor="text2"/>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3467"/>
    <w:rPr>
      <w:rFonts w:asciiTheme="majorHAnsi" w:eastAsiaTheme="majorEastAsia" w:hAnsiTheme="majorHAnsi" w:cstheme="majorBidi"/>
      <w:b/>
      <w:color w:val="662483" w:themeColor="text2"/>
      <w:sz w:val="32"/>
      <w:szCs w:val="32"/>
    </w:rPr>
  </w:style>
  <w:style w:type="character" w:customStyle="1" w:styleId="Titre2Car">
    <w:name w:val="Titre 2 Car"/>
    <w:basedOn w:val="Policepardfaut"/>
    <w:link w:val="Titre2"/>
    <w:uiPriority w:val="9"/>
    <w:rsid w:val="002C244F"/>
    <w:rPr>
      <w:rFonts w:asciiTheme="majorHAnsi" w:eastAsiaTheme="majorEastAsia" w:hAnsiTheme="majorHAnsi" w:cstheme="majorBidi"/>
      <w:b/>
      <w:color w:val="662483" w:themeColor="text2"/>
      <w:sz w:val="24"/>
      <w:szCs w:val="26"/>
    </w:rPr>
  </w:style>
  <w:style w:type="paragraph" w:styleId="Sous-titre">
    <w:name w:val="Subtitle"/>
    <w:aliases w:val="Châpo"/>
    <w:basedOn w:val="Normal"/>
    <w:next w:val="Normal"/>
    <w:link w:val="Sous-titreCar"/>
    <w:uiPriority w:val="11"/>
    <w:qFormat/>
    <w:rsid w:val="005A431A"/>
    <w:pPr>
      <w:numPr>
        <w:ilvl w:val="1"/>
      </w:numPr>
      <w:jc w:val="left"/>
    </w:pPr>
    <w:rPr>
      <w:rFonts w:ascii="Verdana" w:eastAsiaTheme="minorEastAsia" w:hAnsi="Verdana"/>
      <w:color w:val="C1243F" w:themeColor="background2"/>
      <w:spacing w:val="15"/>
    </w:rPr>
  </w:style>
  <w:style w:type="character" w:customStyle="1" w:styleId="Sous-titreCar">
    <w:name w:val="Sous-titre Car"/>
    <w:aliases w:val="Châpo Car"/>
    <w:basedOn w:val="Policepardfaut"/>
    <w:link w:val="Sous-titre"/>
    <w:uiPriority w:val="11"/>
    <w:rsid w:val="005A431A"/>
    <w:rPr>
      <w:rFonts w:ascii="Verdana" w:eastAsiaTheme="minorEastAsia" w:hAnsi="Verdana"/>
      <w:color w:val="C1243F" w:themeColor="background2"/>
      <w:spacing w:val="15"/>
      <w:sz w:val="20"/>
    </w:rPr>
  </w:style>
  <w:style w:type="character" w:styleId="Emphaseple">
    <w:name w:val="Subtle Emphasis"/>
    <w:aliases w:val="Intertitre"/>
    <w:basedOn w:val="Policepardfaut"/>
    <w:uiPriority w:val="19"/>
    <w:qFormat/>
    <w:rsid w:val="005A431A"/>
    <w:rPr>
      <w:rFonts w:ascii="Verdana" w:hAnsi="Verdana"/>
      <w:b/>
      <w:i w:val="0"/>
      <w:iCs/>
      <w:color w:val="FCC700" w:themeColor="accent1"/>
      <w:sz w:val="22"/>
    </w:rPr>
  </w:style>
  <w:style w:type="character" w:styleId="Accentuation">
    <w:name w:val="Emphasis"/>
    <w:basedOn w:val="Policepardfaut"/>
    <w:uiPriority w:val="20"/>
    <w:rsid w:val="00E56D87"/>
    <w:rPr>
      <w:i/>
      <w:iCs/>
      <w:color w:val="C1243F" w:themeColor="background2"/>
    </w:rPr>
  </w:style>
  <w:style w:type="paragraph" w:styleId="Citation">
    <w:name w:val="Quote"/>
    <w:basedOn w:val="Normal"/>
    <w:next w:val="Normal"/>
    <w:link w:val="CitationCar"/>
    <w:uiPriority w:val="29"/>
    <w:rsid w:val="00E56D87"/>
    <w:pPr>
      <w:spacing w:before="200"/>
      <w:ind w:left="864" w:right="864"/>
      <w:jc w:val="center"/>
    </w:pPr>
    <w:rPr>
      <w:rFonts w:asciiTheme="majorHAnsi" w:hAnsiTheme="majorHAnsi"/>
      <w:i/>
      <w:iCs/>
      <w:color w:val="662483" w:themeColor="text2"/>
    </w:rPr>
  </w:style>
  <w:style w:type="character" w:customStyle="1" w:styleId="CitationCar">
    <w:name w:val="Citation Car"/>
    <w:basedOn w:val="Policepardfaut"/>
    <w:link w:val="Citation"/>
    <w:uiPriority w:val="29"/>
    <w:rsid w:val="00E56D87"/>
    <w:rPr>
      <w:rFonts w:asciiTheme="majorHAnsi" w:hAnsiTheme="majorHAnsi"/>
      <w:i/>
      <w:iCs/>
      <w:color w:val="662483" w:themeColor="text2"/>
    </w:rPr>
  </w:style>
  <w:style w:type="paragraph" w:styleId="Paragraphedeliste">
    <w:name w:val="List Paragraph"/>
    <w:basedOn w:val="Normal"/>
    <w:link w:val="ParagraphedelisteCar"/>
    <w:uiPriority w:val="34"/>
    <w:rsid w:val="00E56D87"/>
    <w:pPr>
      <w:ind w:left="720"/>
    </w:pPr>
    <w:rPr>
      <w:rFonts w:asciiTheme="majorHAnsi" w:hAnsiTheme="majorHAnsi"/>
      <w:color w:val="662483" w:themeColor="text2"/>
    </w:rPr>
  </w:style>
  <w:style w:type="paragraph" w:styleId="NormalWeb">
    <w:name w:val="Normal (Web)"/>
    <w:basedOn w:val="Normal"/>
    <w:uiPriority w:val="99"/>
    <w:semiHidden/>
    <w:unhideWhenUsed/>
    <w:rsid w:val="005D4B1E"/>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5A431A"/>
    <w:rPr>
      <w:rFonts w:asciiTheme="majorHAnsi" w:eastAsiaTheme="majorEastAsia" w:hAnsiTheme="majorHAnsi" w:cstheme="majorBidi"/>
      <w:color w:val="662483" w:themeColor="text2"/>
      <w:sz w:val="24"/>
      <w:szCs w:val="24"/>
    </w:rPr>
  </w:style>
  <w:style w:type="character" w:customStyle="1" w:styleId="Titre4Car">
    <w:name w:val="Titre 4 Car"/>
    <w:basedOn w:val="Policepardfaut"/>
    <w:link w:val="Titre4"/>
    <w:uiPriority w:val="9"/>
    <w:rsid w:val="005A431A"/>
    <w:rPr>
      <w:rFonts w:asciiTheme="majorHAnsi" w:eastAsiaTheme="majorEastAsia" w:hAnsiTheme="majorHAnsi" w:cstheme="majorBidi"/>
      <w:iCs/>
      <w:color w:val="662483" w:themeColor="text2"/>
      <w:sz w:val="20"/>
    </w:rPr>
  </w:style>
  <w:style w:type="character" w:customStyle="1" w:styleId="Titre5Car">
    <w:name w:val="Titre 5 Car"/>
    <w:basedOn w:val="Policepardfaut"/>
    <w:link w:val="Titre5"/>
    <w:uiPriority w:val="9"/>
    <w:semiHidden/>
    <w:rsid w:val="00E56D87"/>
    <w:rPr>
      <w:rFonts w:asciiTheme="majorHAnsi" w:eastAsiaTheme="majorEastAsia" w:hAnsiTheme="majorHAnsi" w:cstheme="majorBidi"/>
      <w:color w:val="662483" w:themeColor="text2"/>
    </w:rPr>
  </w:style>
  <w:style w:type="character" w:customStyle="1" w:styleId="Titre6Car">
    <w:name w:val="Titre 6 Car"/>
    <w:basedOn w:val="Policepardfaut"/>
    <w:link w:val="Titre6"/>
    <w:uiPriority w:val="9"/>
    <w:semiHidden/>
    <w:rsid w:val="00E56D87"/>
    <w:rPr>
      <w:rFonts w:asciiTheme="majorHAnsi" w:eastAsiaTheme="majorEastAsia" w:hAnsiTheme="majorHAnsi" w:cstheme="majorBidi"/>
      <w:color w:val="662483" w:themeColor="text2"/>
    </w:rPr>
  </w:style>
  <w:style w:type="character" w:customStyle="1" w:styleId="Titre7Car">
    <w:name w:val="Titre 7 Car"/>
    <w:basedOn w:val="Policepardfaut"/>
    <w:link w:val="Titre7"/>
    <w:uiPriority w:val="9"/>
    <w:semiHidden/>
    <w:rsid w:val="00E56D87"/>
    <w:rPr>
      <w:rFonts w:asciiTheme="majorHAnsi" w:eastAsiaTheme="majorEastAsia" w:hAnsiTheme="majorHAnsi" w:cstheme="majorBidi"/>
      <w:i/>
      <w:iCs/>
      <w:color w:val="662483" w:themeColor="text2"/>
    </w:rPr>
  </w:style>
  <w:style w:type="character" w:customStyle="1" w:styleId="Titre8Car">
    <w:name w:val="Titre 8 Car"/>
    <w:basedOn w:val="Policepardfaut"/>
    <w:link w:val="Titre8"/>
    <w:uiPriority w:val="9"/>
    <w:semiHidden/>
    <w:rsid w:val="00E56D87"/>
    <w:rPr>
      <w:rFonts w:asciiTheme="majorHAnsi" w:eastAsiaTheme="majorEastAsia" w:hAnsiTheme="majorHAnsi" w:cstheme="majorBidi"/>
      <w:color w:val="662483" w:themeColor="text2"/>
      <w:sz w:val="21"/>
      <w:szCs w:val="21"/>
    </w:rPr>
  </w:style>
  <w:style w:type="character" w:customStyle="1" w:styleId="Titre9Car">
    <w:name w:val="Titre 9 Car"/>
    <w:basedOn w:val="Policepardfaut"/>
    <w:link w:val="Titre9"/>
    <w:uiPriority w:val="9"/>
    <w:semiHidden/>
    <w:rsid w:val="00E56D87"/>
    <w:rPr>
      <w:rFonts w:asciiTheme="majorHAnsi" w:eastAsiaTheme="majorEastAsia" w:hAnsiTheme="majorHAnsi" w:cstheme="majorBidi"/>
      <w:i/>
      <w:iCs/>
      <w:color w:val="662483" w:themeColor="text2"/>
      <w:sz w:val="21"/>
      <w:szCs w:val="21"/>
    </w:rPr>
  </w:style>
  <w:style w:type="paragraph" w:styleId="Titre">
    <w:name w:val="Title"/>
    <w:basedOn w:val="Normal"/>
    <w:next w:val="Normal"/>
    <w:link w:val="TitreCar"/>
    <w:uiPriority w:val="10"/>
    <w:qFormat/>
    <w:rsid w:val="002C244F"/>
    <w:pPr>
      <w:spacing w:before="600" w:after="600"/>
      <w:jc w:val="left"/>
    </w:pPr>
    <w:rPr>
      <w:rFonts w:asciiTheme="majorHAnsi" w:eastAsiaTheme="majorEastAsia" w:hAnsiTheme="majorHAnsi" w:cstheme="majorBidi"/>
      <w:b/>
      <w:color w:val="662483" w:themeColor="text2"/>
      <w:spacing w:val="-10"/>
      <w:kern w:val="28"/>
      <w:sz w:val="44"/>
      <w:szCs w:val="56"/>
    </w:rPr>
  </w:style>
  <w:style w:type="character" w:customStyle="1" w:styleId="TitreCar">
    <w:name w:val="Titre Car"/>
    <w:basedOn w:val="Policepardfaut"/>
    <w:link w:val="Titre"/>
    <w:uiPriority w:val="10"/>
    <w:rsid w:val="002C244F"/>
    <w:rPr>
      <w:rFonts w:asciiTheme="majorHAnsi" w:eastAsiaTheme="majorEastAsia" w:hAnsiTheme="majorHAnsi" w:cstheme="majorBidi"/>
      <w:b/>
      <w:color w:val="662483" w:themeColor="text2"/>
      <w:spacing w:val="-10"/>
      <w:kern w:val="28"/>
      <w:sz w:val="44"/>
      <w:szCs w:val="56"/>
    </w:rPr>
  </w:style>
  <w:style w:type="character" w:styleId="lev">
    <w:name w:val="Strong"/>
    <w:basedOn w:val="Policepardfaut"/>
    <w:uiPriority w:val="22"/>
    <w:qFormat/>
    <w:rsid w:val="00E56D87"/>
    <w:rPr>
      <w:b/>
      <w:bCs/>
      <w:color w:val="C1243F" w:themeColor="background2"/>
    </w:rPr>
  </w:style>
  <w:style w:type="paragraph" w:styleId="Citationintense">
    <w:name w:val="Intense Quote"/>
    <w:aliases w:val="Mise en avant d'un contenu"/>
    <w:basedOn w:val="Normal"/>
    <w:next w:val="Normal"/>
    <w:link w:val="CitationintenseCar"/>
    <w:uiPriority w:val="30"/>
    <w:qFormat/>
    <w:rsid w:val="005A431A"/>
    <w:pPr>
      <w:pBdr>
        <w:top w:val="single" w:sz="4" w:space="10" w:color="FCC700" w:themeColor="accent1"/>
        <w:bottom w:val="single" w:sz="4" w:space="10" w:color="FCC700" w:themeColor="accent1"/>
      </w:pBdr>
      <w:spacing w:before="360" w:after="360"/>
      <w:ind w:left="864" w:right="864"/>
      <w:jc w:val="center"/>
    </w:pPr>
    <w:rPr>
      <w:i/>
      <w:iCs/>
      <w:color w:val="662483" w:themeColor="text2"/>
      <w:sz w:val="22"/>
    </w:rPr>
  </w:style>
  <w:style w:type="character" w:customStyle="1" w:styleId="CitationintenseCar">
    <w:name w:val="Citation intense Car"/>
    <w:aliases w:val="Mise en avant d'un contenu Car"/>
    <w:basedOn w:val="Policepardfaut"/>
    <w:link w:val="Citationintense"/>
    <w:uiPriority w:val="30"/>
    <w:rsid w:val="005A431A"/>
    <w:rPr>
      <w:i/>
      <w:iCs/>
      <w:color w:val="662483" w:themeColor="text2"/>
    </w:rPr>
  </w:style>
  <w:style w:type="character" w:styleId="Titredulivre">
    <w:name w:val="Book Title"/>
    <w:basedOn w:val="Policepardfaut"/>
    <w:uiPriority w:val="33"/>
    <w:rsid w:val="00E56D87"/>
    <w:rPr>
      <w:b/>
      <w:bCs/>
      <w:i/>
      <w:iCs/>
      <w:color w:val="662483" w:themeColor="text2"/>
      <w:spacing w:val="5"/>
    </w:rPr>
  </w:style>
  <w:style w:type="table" w:styleId="Grilledutableau">
    <w:name w:val="Table Grid"/>
    <w:basedOn w:val="TableauNormal"/>
    <w:uiPriority w:val="39"/>
    <w:rsid w:val="00E56D87"/>
    <w:pPr>
      <w:spacing w:after="0" w:line="240" w:lineRule="auto"/>
    </w:pPr>
    <w:rPr>
      <w:rFonts w:asciiTheme="majorHAnsi" w:hAnsiTheme="majorHAnsi"/>
    </w:rPr>
    <w:tblPr>
      <w:tblStyleRowBandSize w:val="1"/>
    </w:tblPr>
    <w:tcPr>
      <w:vAlign w:val="center"/>
    </w:tcPr>
    <w:tblStylePr w:type="firstRow">
      <w:rPr>
        <w:rFonts w:asciiTheme="majorHAnsi" w:hAnsiTheme="majorHAnsi"/>
        <w:b/>
      </w:rPr>
    </w:tblStylePr>
    <w:tblStylePr w:type="band1Horz">
      <w:rPr>
        <w:rFonts w:asciiTheme="majorHAnsi" w:hAnsiTheme="majorHAnsi"/>
        <w:color w:val="662483" w:themeColor="text2"/>
      </w:rPr>
      <w:tblPr/>
      <w:tcPr>
        <w:tcBorders>
          <w:top w:val="nil"/>
          <w:left w:val="nil"/>
          <w:bottom w:val="nil"/>
          <w:right w:val="nil"/>
          <w:insideH w:val="nil"/>
          <w:insideV w:val="nil"/>
          <w:tl2br w:val="nil"/>
          <w:tr2bl w:val="nil"/>
        </w:tcBorders>
        <w:shd w:val="clear" w:color="auto" w:fill="FEFCF4" w:themeFill="accent4" w:themeFillTint="33"/>
      </w:tcPr>
    </w:tblStylePr>
    <w:tblStylePr w:type="band2Horz">
      <w:rPr>
        <w:rFonts w:asciiTheme="majorHAnsi" w:hAnsiTheme="majorHAnsi"/>
        <w:color w:val="C1243F" w:themeColor="background2"/>
      </w:rPr>
      <w:tblPr/>
      <w:tcPr>
        <w:tcBorders>
          <w:top w:val="nil"/>
          <w:left w:val="nil"/>
          <w:bottom w:val="nil"/>
          <w:right w:val="nil"/>
          <w:insideH w:val="nil"/>
          <w:insideV w:val="nil"/>
          <w:tl2br w:val="nil"/>
          <w:tr2bl w:val="nil"/>
        </w:tcBorders>
        <w:shd w:val="clear" w:color="auto" w:fill="FFFFFF" w:themeFill="background1"/>
      </w:tcPr>
    </w:tblStylePr>
  </w:style>
  <w:style w:type="numbering" w:styleId="111111">
    <w:name w:val="Outline List 2"/>
    <w:basedOn w:val="Aucuneliste"/>
    <w:uiPriority w:val="99"/>
    <w:semiHidden/>
    <w:unhideWhenUsed/>
    <w:rsid w:val="00E56D87"/>
    <w:pPr>
      <w:numPr>
        <w:numId w:val="1"/>
      </w:numPr>
    </w:pPr>
  </w:style>
  <w:style w:type="numbering" w:styleId="1ai">
    <w:name w:val="Outline List 1"/>
    <w:basedOn w:val="Aucuneliste"/>
    <w:uiPriority w:val="99"/>
    <w:semiHidden/>
    <w:unhideWhenUsed/>
    <w:rsid w:val="00E56D87"/>
    <w:pPr>
      <w:numPr>
        <w:numId w:val="3"/>
      </w:numPr>
    </w:pPr>
  </w:style>
  <w:style w:type="paragraph" w:styleId="Listepuces">
    <w:name w:val="List Bullet"/>
    <w:basedOn w:val="Normal"/>
    <w:uiPriority w:val="99"/>
    <w:semiHidden/>
    <w:unhideWhenUsed/>
    <w:rsid w:val="00E56D87"/>
    <w:pPr>
      <w:numPr>
        <w:numId w:val="5"/>
      </w:numPr>
    </w:pPr>
    <w:rPr>
      <w:color w:val="662483" w:themeColor="text2"/>
    </w:rPr>
  </w:style>
  <w:style w:type="paragraph" w:styleId="Listenumros">
    <w:name w:val="List Number"/>
    <w:basedOn w:val="Normal"/>
    <w:uiPriority w:val="99"/>
    <w:semiHidden/>
    <w:unhideWhenUsed/>
    <w:rsid w:val="00E56D87"/>
    <w:pPr>
      <w:numPr>
        <w:numId w:val="6"/>
      </w:numPr>
    </w:pPr>
    <w:rPr>
      <w:color w:val="662483" w:themeColor="text2"/>
    </w:rPr>
  </w:style>
  <w:style w:type="paragraph" w:styleId="En-tte">
    <w:name w:val="header"/>
    <w:basedOn w:val="Normal"/>
    <w:link w:val="En-tteCar"/>
    <w:uiPriority w:val="99"/>
    <w:unhideWhenUsed/>
    <w:rsid w:val="007453AA"/>
    <w:pPr>
      <w:tabs>
        <w:tab w:val="center" w:pos="4536"/>
        <w:tab w:val="right" w:pos="9072"/>
      </w:tabs>
      <w:spacing w:after="0"/>
    </w:pPr>
  </w:style>
  <w:style w:type="character" w:customStyle="1" w:styleId="En-tteCar">
    <w:name w:val="En-tête Car"/>
    <w:basedOn w:val="Policepardfaut"/>
    <w:link w:val="En-tte"/>
    <w:uiPriority w:val="99"/>
    <w:rsid w:val="007453AA"/>
  </w:style>
  <w:style w:type="paragraph" w:styleId="Pieddepage">
    <w:name w:val="footer"/>
    <w:basedOn w:val="Normal"/>
    <w:link w:val="PieddepageCar"/>
    <w:uiPriority w:val="99"/>
    <w:unhideWhenUsed/>
    <w:rsid w:val="007453AA"/>
    <w:pPr>
      <w:tabs>
        <w:tab w:val="center" w:pos="4536"/>
        <w:tab w:val="right" w:pos="9072"/>
      </w:tabs>
      <w:spacing w:after="0"/>
    </w:pPr>
  </w:style>
  <w:style w:type="character" w:customStyle="1" w:styleId="PieddepageCar">
    <w:name w:val="Pied de page Car"/>
    <w:basedOn w:val="Policepardfaut"/>
    <w:link w:val="Pieddepage"/>
    <w:uiPriority w:val="99"/>
    <w:rsid w:val="007453AA"/>
  </w:style>
  <w:style w:type="character" w:styleId="Rfrenceple">
    <w:name w:val="Subtle Reference"/>
    <w:basedOn w:val="Policepardfaut"/>
    <w:uiPriority w:val="31"/>
    <w:rsid w:val="00896B41"/>
    <w:rPr>
      <w:smallCaps/>
      <w:color w:val="5A5A5A" w:themeColor="text1" w:themeTint="A5"/>
    </w:rPr>
  </w:style>
  <w:style w:type="paragraph" w:styleId="Sansinterligne">
    <w:name w:val="No Spacing"/>
    <w:uiPriority w:val="1"/>
    <w:rsid w:val="00896B41"/>
    <w:pPr>
      <w:spacing w:after="0" w:line="240" w:lineRule="auto"/>
      <w:jc w:val="both"/>
    </w:pPr>
  </w:style>
  <w:style w:type="paragraph" w:customStyle="1" w:styleId="Puces">
    <w:name w:val="Puces"/>
    <w:basedOn w:val="Paragraphedeliste"/>
    <w:link w:val="PucesCar"/>
    <w:qFormat/>
    <w:rsid w:val="005A431A"/>
    <w:pPr>
      <w:numPr>
        <w:numId w:val="7"/>
      </w:numPr>
    </w:pPr>
    <w:rPr>
      <w:rFonts w:ascii="Arial" w:hAnsi="Arial"/>
      <w:color w:val="000000" w:themeColor="text1"/>
    </w:rPr>
  </w:style>
  <w:style w:type="character" w:customStyle="1" w:styleId="ParagraphedelisteCar">
    <w:name w:val="Paragraphe de liste Car"/>
    <w:basedOn w:val="Policepardfaut"/>
    <w:link w:val="Paragraphedeliste"/>
    <w:uiPriority w:val="34"/>
    <w:rsid w:val="005A431A"/>
    <w:rPr>
      <w:rFonts w:asciiTheme="majorHAnsi" w:hAnsiTheme="majorHAnsi"/>
      <w:color w:val="662483" w:themeColor="text2"/>
    </w:rPr>
  </w:style>
  <w:style w:type="character" w:customStyle="1" w:styleId="PucesCar">
    <w:name w:val="Puces Car"/>
    <w:basedOn w:val="ParagraphedelisteCar"/>
    <w:link w:val="Puces"/>
    <w:rsid w:val="005A431A"/>
    <w:rPr>
      <w:rFonts w:ascii="Arial" w:hAnsi="Arial"/>
      <w:color w:val="000000" w:themeColor="text1"/>
      <w:sz w:val="20"/>
    </w:rPr>
  </w:style>
  <w:style w:type="paragraph" w:customStyle="1" w:styleId="PuceVU">
    <w:name w:val="Puce VU"/>
    <w:basedOn w:val="Normal"/>
    <w:link w:val="PuceVUCar"/>
    <w:rsid w:val="001C379C"/>
    <w:pPr>
      <w:numPr>
        <w:numId w:val="13"/>
      </w:numPr>
      <w:autoSpaceDE w:val="0"/>
      <w:autoSpaceDN w:val="0"/>
      <w:adjustRightInd w:val="0"/>
      <w:spacing w:before="0" w:after="0"/>
      <w:contextualSpacing w:val="0"/>
    </w:pPr>
    <w:rPr>
      <w:rFonts w:ascii="Arial Narrow" w:hAnsi="Arial Narrow"/>
      <w:color w:val="464646"/>
      <w:sz w:val="22"/>
      <w:szCs w:val="20"/>
    </w:rPr>
  </w:style>
  <w:style w:type="character" w:customStyle="1" w:styleId="PuceVUCar">
    <w:name w:val="Puce VU Car"/>
    <w:link w:val="PuceVU"/>
    <w:rsid w:val="001C379C"/>
    <w:rPr>
      <w:rFonts w:ascii="Arial Narrow" w:hAnsi="Arial Narrow"/>
      <w:color w:val="464646"/>
      <w:szCs w:val="20"/>
    </w:rPr>
  </w:style>
  <w:style w:type="paragraph" w:customStyle="1" w:styleId="VuConsidrant">
    <w:name w:val="Vu.Considérant"/>
    <w:basedOn w:val="Normal"/>
    <w:rsid w:val="001C379C"/>
    <w:pPr>
      <w:autoSpaceDE w:val="0"/>
      <w:autoSpaceDN w:val="0"/>
      <w:spacing w:before="0" w:after="140"/>
      <w:contextualSpacing w:val="0"/>
    </w:pPr>
    <w:rPr>
      <w:rFonts w:ascii="Arial" w:eastAsia="Times New Roman" w:hAnsi="Arial" w:cs="Arial"/>
      <w:szCs w:val="20"/>
      <w:lang w:eastAsia="fr-FR"/>
    </w:rPr>
  </w:style>
  <w:style w:type="table" w:styleId="Grilledetableauclaire">
    <w:name w:val="Grid Table Light"/>
    <w:basedOn w:val="TableauNormal"/>
    <w:uiPriority w:val="40"/>
    <w:rsid w:val="001C37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00317">
      <w:bodyDiv w:val="1"/>
      <w:marLeft w:val="0"/>
      <w:marRight w:val="0"/>
      <w:marTop w:val="0"/>
      <w:marBottom w:val="0"/>
      <w:divBdr>
        <w:top w:val="none" w:sz="0" w:space="0" w:color="auto"/>
        <w:left w:val="none" w:sz="0" w:space="0" w:color="auto"/>
        <w:bottom w:val="none" w:sz="0" w:space="0" w:color="auto"/>
        <w:right w:val="none" w:sz="0" w:space="0" w:color="auto"/>
      </w:divBdr>
    </w:div>
    <w:div w:id="1213691646">
      <w:bodyDiv w:val="1"/>
      <w:marLeft w:val="0"/>
      <w:marRight w:val="0"/>
      <w:marTop w:val="0"/>
      <w:marBottom w:val="0"/>
      <w:divBdr>
        <w:top w:val="none" w:sz="0" w:space="0" w:color="auto"/>
        <w:left w:val="none" w:sz="0" w:space="0" w:color="auto"/>
        <w:bottom w:val="none" w:sz="0" w:space="0" w:color="auto"/>
        <w:right w:val="none" w:sz="0" w:space="0" w:color="auto"/>
      </w:divBdr>
    </w:div>
    <w:div w:id="1785154875">
      <w:bodyDiv w:val="1"/>
      <w:marLeft w:val="0"/>
      <w:marRight w:val="0"/>
      <w:marTop w:val="0"/>
      <w:marBottom w:val="0"/>
      <w:divBdr>
        <w:top w:val="none" w:sz="0" w:space="0" w:color="auto"/>
        <w:left w:val="none" w:sz="0" w:space="0" w:color="auto"/>
        <w:bottom w:val="none" w:sz="0" w:space="0" w:color="auto"/>
        <w:right w:val="none" w:sz="0" w:space="0" w:color="auto"/>
      </w:divBdr>
    </w:div>
    <w:div w:id="181791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lleil\Downloads\Document_type_1_(logo_au_centre)(3).dotx" TargetMode="External"/></Relationships>
</file>

<file path=word/theme/theme1.xml><?xml version="1.0" encoding="utf-8"?>
<a:theme xmlns:a="http://schemas.openxmlformats.org/drawingml/2006/main" name="CDG44_2023">
  <a:themeElements>
    <a:clrScheme name="CDG44">
      <a:dk1>
        <a:sysClr val="windowText" lastClr="000000"/>
      </a:dk1>
      <a:lt1>
        <a:srgbClr val="FFFFFF"/>
      </a:lt1>
      <a:dk2>
        <a:srgbClr val="662483"/>
      </a:dk2>
      <a:lt2>
        <a:srgbClr val="C1243F"/>
      </a:lt2>
      <a:accent1>
        <a:srgbClr val="FCC700"/>
      </a:accent1>
      <a:accent2>
        <a:srgbClr val="E4C9F0"/>
      </a:accent2>
      <a:accent3>
        <a:srgbClr val="FCEFF1"/>
      </a:accent3>
      <a:accent4>
        <a:srgbClr val="FEF4CB"/>
      </a:accent4>
      <a:accent5>
        <a:srgbClr val="706F6F"/>
      </a:accent5>
      <a:accent6>
        <a:srgbClr val="D0D0D0"/>
      </a:accent6>
      <a:hlink>
        <a:srgbClr val="662483"/>
      </a:hlink>
      <a:folHlink>
        <a:srgbClr val="662483"/>
      </a:folHlink>
    </a:clrScheme>
    <a:fontScheme name="Police de Thème CDG44 2023">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E75AC-3807-465D-B1B2-3806C572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Document_type_1_(logo_au_centre)(3)</Template>
  <TotalTime>1</TotalTime>
  <Pages>3</Pages>
  <Words>948</Words>
  <Characters>5217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Univers graphique 2023</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 graphique 2023</dc:title>
  <dc:subject/>
  <dc:creator>Mathilde Belleil</dc:creator>
  <cp:keywords>charte graphique;2023;nouveau logo;identité 2023</cp:keywords>
  <dc:description/>
  <cp:lastModifiedBy>Emilie Bulteau</cp:lastModifiedBy>
  <cp:revision>3</cp:revision>
  <dcterms:created xsi:type="dcterms:W3CDTF">2023-11-16T10:01:00Z</dcterms:created>
  <dcterms:modified xsi:type="dcterms:W3CDTF">2023-11-16T10:36:00Z</dcterms:modified>
</cp:coreProperties>
</file>