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0A" w:rsidRPr="00D9680A" w:rsidRDefault="00D9680A" w:rsidP="00CA3775">
      <w:pPr>
        <w:rPr>
          <w:rFonts w:asciiTheme="majorHAnsi" w:hAnsiTheme="majorHAnsi"/>
          <w:color w:val="329C9A"/>
        </w:rPr>
      </w:pPr>
      <w:r w:rsidRPr="00D9680A">
        <w:rPr>
          <w:rFonts w:asciiTheme="majorHAnsi" w:hAnsiTheme="majorHAnsi"/>
          <w:noProof/>
          <w:color w:val="329C9A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600075"/>
            <wp:positionH relativeFrom="margin">
              <wp:align>left</wp:align>
            </wp:positionH>
            <wp:positionV relativeFrom="margin">
              <wp:align>top</wp:align>
            </wp:positionV>
            <wp:extent cx="590550" cy="518324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DG_fond_transparent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18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680A">
        <w:rPr>
          <w:rFonts w:asciiTheme="majorHAnsi" w:hAnsiTheme="majorHAnsi"/>
          <w:color w:val="329C9A"/>
          <w:sz w:val="36"/>
        </w:rPr>
        <w:t>TABLEAU DE SUIVI DES ARBITRAGE</w:t>
      </w:r>
      <w:r>
        <w:rPr>
          <w:rFonts w:asciiTheme="majorHAnsi" w:hAnsiTheme="majorHAnsi"/>
          <w:color w:val="329C9A"/>
          <w:sz w:val="36"/>
        </w:rPr>
        <w:t>S</w:t>
      </w:r>
    </w:p>
    <w:p w:rsidR="00D9680A" w:rsidRDefault="00D9680A" w:rsidP="00CA377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A9C4E" wp14:editId="1BDB62E9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837680" cy="7620"/>
                <wp:effectExtent l="0" t="0" r="20320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29C9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9936F" id="Connecteur droit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pt" to="538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" strokecolor="#329c9a" strokeweight="1.5pt">
                <w10:wrap anchorx="margin"/>
              </v:line>
            </w:pict>
          </mc:Fallback>
        </mc:AlternateContent>
      </w:r>
    </w:p>
    <w:p w:rsidR="00CA3775" w:rsidRDefault="00D9680A" w:rsidP="00CA3775">
      <w:r w:rsidRPr="00D9680A">
        <w:rPr>
          <w:noProof/>
          <w:color w:val="F4F4F4" w:themeColor="background2" w:themeTint="33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06138C1" wp14:editId="0CCB1E2E">
                <wp:simplePos x="0" y="0"/>
                <wp:positionH relativeFrom="column">
                  <wp:posOffset>-52070</wp:posOffset>
                </wp:positionH>
                <wp:positionV relativeFrom="paragraph">
                  <wp:posOffset>259715</wp:posOffset>
                </wp:positionV>
                <wp:extent cx="6210300" cy="2698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69875"/>
                        </a:xfrm>
                        <a:prstGeom prst="rect">
                          <a:avLst/>
                        </a:prstGeom>
                        <a:solidFill>
                          <a:srgbClr val="329C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354A7C" id="Rectangle 3" o:spid="_x0000_s1026" style="position:absolute;margin-left:-4.1pt;margin-top:20.45pt;width:489pt;height:21.25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" fillcolor="#329c9a" stroked="f" strokeweight="2pt"/>
            </w:pict>
          </mc:Fallback>
        </mc:AlternateContent>
      </w:r>
      <w:r w:rsidR="00CA3775">
        <w:t>But : Après avoir trié les questions à travailler, repérer qui se chargera de quel sujet et comment</w:t>
      </w:r>
    </w:p>
    <w:p w:rsidR="00B9246C" w:rsidRPr="00D9680A" w:rsidRDefault="00D9680A" w:rsidP="00D9680A">
      <w:pPr>
        <w:rPr>
          <w:color w:val="F4F4F4" w:themeColor="background2" w:themeTint="33"/>
          <w:sz w:val="28"/>
        </w:rPr>
      </w:pPr>
      <w:r w:rsidRPr="00D9680A">
        <w:rPr>
          <w:color w:val="F4F4F4" w:themeColor="background2" w:themeTint="33"/>
          <w:sz w:val="28"/>
        </w:rPr>
        <w:t>PARTIE PROTOCOLE D'AM</w:t>
      </w:r>
      <w:r>
        <w:rPr>
          <w:color w:val="F4F4F4" w:themeColor="background2" w:themeTint="33"/>
          <w:sz w:val="28"/>
        </w:rPr>
        <w:t>É</w:t>
      </w:r>
      <w:r w:rsidRPr="00D9680A">
        <w:rPr>
          <w:color w:val="F4F4F4" w:themeColor="background2" w:themeTint="33"/>
          <w:sz w:val="28"/>
        </w:rPr>
        <w:t xml:space="preserve">NAGEMENT DU TEMPS DE TRAVAIL 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2937"/>
        <w:gridCol w:w="1418"/>
        <w:gridCol w:w="1984"/>
      </w:tblGrid>
      <w:tr w:rsidR="00401B40" w:rsidRPr="00401B40" w:rsidTr="00CA3775">
        <w:trPr>
          <w:trHeight w:val="51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</w:p>
        </w:tc>
        <w:bookmarkStart w:id="0" w:name="_GoBack"/>
        <w:bookmarkEnd w:id="0"/>
      </w:tr>
      <w:tr w:rsidR="00401B40" w:rsidRPr="00401B40" w:rsidTr="00CA3775">
        <w:trPr>
          <w:trHeight w:val="989"/>
        </w:trPr>
        <w:tc>
          <w:tcPr>
            <w:tcW w:w="33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  <w:rPr>
                <w:b/>
                <w:bCs/>
              </w:rPr>
            </w:pPr>
            <w:r w:rsidRPr="00401B40">
              <w:rPr>
                <w:b/>
                <w:bCs/>
              </w:rPr>
              <w:t>question</w:t>
            </w:r>
          </w:p>
        </w:tc>
        <w:tc>
          <w:tcPr>
            <w:tcW w:w="29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A3775" w:rsidRDefault="00CA3775" w:rsidP="00401B40">
            <w:pPr>
              <w:spacing w:after="160" w:line="259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mode</w:t>
            </w:r>
            <w:proofErr w:type="gramEnd"/>
            <w:r>
              <w:rPr>
                <w:b/>
                <w:bCs/>
              </w:rPr>
              <w:t xml:space="preserve"> de réflexion et échéance</w:t>
            </w:r>
          </w:p>
          <w:p w:rsidR="00401B40" w:rsidRPr="00401B40" w:rsidRDefault="00401B40" w:rsidP="00401B40">
            <w:pPr>
              <w:spacing w:after="160" w:line="259" w:lineRule="auto"/>
              <w:rPr>
                <w:b/>
                <w:bCs/>
              </w:rPr>
            </w:pPr>
            <w:r w:rsidRPr="00CA3775">
              <w:rPr>
                <w:sz w:val="18"/>
                <w:szCs w:val="18"/>
              </w:rPr>
              <w:t>réunion de service habituelle, atelier transversal, groupe de travail dédié</w:t>
            </w:r>
            <w:r w:rsidR="00CA3775">
              <w:rPr>
                <w:sz w:val="18"/>
                <w:szCs w:val="18"/>
              </w:rPr>
              <w:t>, proposition des experts RH...</w:t>
            </w:r>
          </w:p>
        </w:tc>
        <w:tc>
          <w:tcPr>
            <w:tcW w:w="14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  <w:rPr>
                <w:b/>
                <w:bCs/>
              </w:rPr>
            </w:pPr>
            <w:r w:rsidRPr="00401B40">
              <w:rPr>
                <w:b/>
                <w:bCs/>
              </w:rPr>
              <w:t>personne chargée de l'argumentaire</w:t>
            </w:r>
          </w:p>
        </w:tc>
        <w:tc>
          <w:tcPr>
            <w:tcW w:w="198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  <w:rPr>
                <w:b/>
                <w:bCs/>
              </w:rPr>
            </w:pPr>
            <w:r w:rsidRPr="00401B40">
              <w:rPr>
                <w:b/>
                <w:bCs/>
              </w:rPr>
              <w:t>décision</w:t>
            </w:r>
          </w:p>
        </w:tc>
      </w:tr>
      <w:tr w:rsidR="00401B40" w:rsidRPr="00401B40" w:rsidTr="00CA3775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journée de solidarité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1B40" w:rsidRPr="00401B40" w:rsidRDefault="00401B40" w:rsidP="00401B40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  <w:rPr>
                <w:b/>
                <w:bCs/>
              </w:rPr>
            </w:pPr>
            <w:r w:rsidRPr="00401B40">
              <w:rPr>
                <w:b/>
                <w:bCs/>
              </w:rPr>
              <w:t> </w:t>
            </w:r>
          </w:p>
        </w:tc>
      </w:tr>
      <w:tr w:rsidR="00401B40" w:rsidRPr="00401B40" w:rsidTr="00CA3775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CET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1B40" w:rsidRPr="00401B40" w:rsidRDefault="00401B40" w:rsidP="00401B40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</w:tr>
      <w:tr w:rsidR="00401B40" w:rsidRPr="00401B40" w:rsidTr="00CA3775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don de jour de repos (enfants ou conjoint malades)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1B40" w:rsidRPr="00401B40" w:rsidRDefault="00401B40" w:rsidP="00401B40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</w:tr>
      <w:tr w:rsidR="00401B40" w:rsidRPr="00401B40" w:rsidTr="00CA3775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CA3775">
            <w:r w:rsidRPr="00401B40">
              <w:t xml:space="preserve">temps de travail effectif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1B40" w:rsidRPr="00401B40" w:rsidRDefault="00CA3775" w:rsidP="00401B40">
            <w:pPr>
              <w:spacing w:after="160" w:line="259" w:lineRule="auto"/>
            </w:pPr>
            <w:r>
              <w:t>Voir tableau ci-dessous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</w:tr>
      <w:tr w:rsidR="00401B40" w:rsidRPr="00401B40" w:rsidTr="00CA3775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r w:rsidRPr="00401B40">
              <w:t>bornes quotidiennes / horaires de service public / horaires de fonction</w:t>
            </w:r>
            <w:r>
              <w:t xml:space="preserve">nement des différents services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1B40" w:rsidRPr="00401B40" w:rsidRDefault="00401B40" w:rsidP="00401B40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</w:tr>
      <w:tr w:rsidR="00401B40" w:rsidRPr="00401B40" w:rsidTr="00CA3775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règles de prise de congés des différents services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1B40" w:rsidRPr="00401B40" w:rsidRDefault="00401B40" w:rsidP="00401B40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</w:tr>
      <w:tr w:rsidR="00401B40" w:rsidRPr="00401B40" w:rsidTr="00CA3775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autorisations spéciales d'absence (attente décret)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1B40" w:rsidRPr="00401B40" w:rsidRDefault="00401B40" w:rsidP="00401B40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</w:tr>
      <w:tr w:rsidR="00401B40" w:rsidRPr="00401B40" w:rsidTr="00CA3775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gestion des heures supplémentaires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1B40" w:rsidRPr="00401B40" w:rsidRDefault="00401B40" w:rsidP="00401B40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</w:tr>
      <w:tr w:rsidR="00401B40" w:rsidRPr="00401B40" w:rsidTr="00CA3775">
        <w:trPr>
          <w:trHeight w:val="1200"/>
        </w:trPr>
        <w:tc>
          <w:tcPr>
            <w:tcW w:w="3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r w:rsidRPr="00401B40">
              <w:t xml:space="preserve">régime des contributions aux manifestations (travail normal, travail exceptionnel et régime de récupération)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1B40" w:rsidRPr="00401B40" w:rsidRDefault="00401B40" w:rsidP="00401B40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</w:tr>
      <w:tr w:rsidR="00401B40" w:rsidRPr="00401B40" w:rsidTr="00CA3775">
        <w:trPr>
          <w:trHeight w:val="1020"/>
        </w:trPr>
        <w:tc>
          <w:tcPr>
            <w:tcW w:w="3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cycles de travail de chaque service (durée hebdo de référence + jours d'absence + aménagement des horaires possibles + calcul de la durée annuelle de travail)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1B40" w:rsidRPr="00401B40" w:rsidRDefault="00401B40" w:rsidP="00401B40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</w:tr>
      <w:tr w:rsidR="00401B40" w:rsidRPr="00401B40" w:rsidTr="00CA3775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système d'annualisation pour les personnels concernés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1B40" w:rsidRPr="00401B40" w:rsidRDefault="00401B40" w:rsidP="00401B40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</w:tr>
      <w:tr w:rsidR="00401B40" w:rsidRPr="00401B40" w:rsidTr="00CA3775">
        <w:trPr>
          <w:trHeight w:val="270"/>
        </w:trPr>
        <w:tc>
          <w:tcPr>
            <w:tcW w:w="3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régime des cadres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1B40" w:rsidRPr="00401B40" w:rsidRDefault="00401B40" w:rsidP="00401B40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</w:tr>
      <w:tr w:rsidR="00401B40" w:rsidRPr="00401B40" w:rsidTr="00CA3775">
        <w:trPr>
          <w:trHeight w:val="540"/>
        </w:trPr>
        <w:tc>
          <w:tcPr>
            <w:tcW w:w="3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astreintes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1B40" w:rsidRPr="00401B40" w:rsidRDefault="00401B40" w:rsidP="00401B40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</w:tr>
      <w:tr w:rsidR="00401B40" w:rsidRPr="00401B40" w:rsidTr="00CA3775">
        <w:trPr>
          <w:trHeight w:val="510"/>
        </w:trPr>
        <w:tc>
          <w:tcPr>
            <w:tcW w:w="3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lastRenderedPageBreak/>
              <w:t xml:space="preserve">permanences </w:t>
            </w:r>
            <w:r w:rsidR="00CA3775">
              <w:t>de</w:t>
            </w:r>
            <w:r w:rsidRPr="00401B40">
              <w:t xml:space="preserve"> service public pour maintenir la continuité : à définir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1B40" w:rsidRPr="00401B40" w:rsidRDefault="00401B40" w:rsidP="00401B40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</w:tr>
      <w:tr w:rsidR="00401B40" w:rsidRPr="00401B40" w:rsidTr="00CA3775">
        <w:trPr>
          <w:trHeight w:val="418"/>
        </w:trPr>
        <w:tc>
          <w:tcPr>
            <w:tcW w:w="33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CA3775">
            <w:pPr>
              <w:spacing w:after="160" w:line="259" w:lineRule="auto"/>
            </w:pPr>
            <w:r w:rsidRPr="00401B40">
              <w:t xml:space="preserve">temps de travail de nuit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401B40" w:rsidRPr="00401B40" w:rsidRDefault="00401B40" w:rsidP="00401B40">
            <w:pPr>
              <w:spacing w:after="160" w:line="259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01B40" w:rsidRPr="00401B40" w:rsidRDefault="00401B40" w:rsidP="00401B40">
            <w:pPr>
              <w:spacing w:after="160" w:line="259" w:lineRule="auto"/>
            </w:pPr>
            <w:r w:rsidRPr="00401B40">
              <w:t> </w:t>
            </w:r>
          </w:p>
        </w:tc>
      </w:tr>
    </w:tbl>
    <w:p w:rsidR="00CA3775" w:rsidRDefault="00CA3775" w:rsidP="00CA3775">
      <w:pPr>
        <w:rPr>
          <w:color w:val="EAEAEA" w:themeColor="background1"/>
          <w:spacing w:val="15"/>
          <w:sz w:val="22"/>
          <w:szCs w:val="22"/>
        </w:rPr>
      </w:pPr>
      <w:r>
        <w:br w:type="page"/>
      </w:r>
    </w:p>
    <w:p w:rsidR="00401B40" w:rsidRPr="005F6860" w:rsidRDefault="005F6860" w:rsidP="005F6860">
      <w:pPr>
        <w:pStyle w:val="lieu"/>
        <w:rPr>
          <w:color w:val="F4F4F4" w:themeColor="background2" w:themeTint="33"/>
        </w:rPr>
      </w:pPr>
      <w:r w:rsidRPr="005F6860">
        <w:rPr>
          <w:noProof/>
          <w:color w:val="F4F4F4" w:themeColor="background2" w:themeTint="33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F974C4" wp14:editId="71013AA6">
                <wp:simplePos x="0" y="0"/>
                <wp:positionH relativeFrom="margin">
                  <wp:align>right</wp:align>
                </wp:positionH>
                <wp:positionV relativeFrom="paragraph">
                  <wp:posOffset>-64135</wp:posOffset>
                </wp:positionV>
                <wp:extent cx="5762625" cy="269875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69875"/>
                        </a:xfrm>
                        <a:prstGeom prst="rect">
                          <a:avLst/>
                        </a:prstGeom>
                        <a:solidFill>
                          <a:srgbClr val="329C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7AA654" id="Rectangle 4" o:spid="_x0000_s1026" style="position:absolute;margin-left:402.55pt;margin-top:-5.05pt;width:453.75pt;height:21.25pt;z-index:-2516520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" fillcolor="#329c9a" stroked="f" strokeweight="2pt">
                <w10:wrap anchorx="margin"/>
              </v:rect>
            </w:pict>
          </mc:Fallback>
        </mc:AlternateContent>
      </w:r>
      <w:r w:rsidRPr="005F6860">
        <w:rPr>
          <w:color w:val="F4F4F4" w:themeColor="background2" w:themeTint="33"/>
        </w:rPr>
        <w:t>PARTIE ORGANISATIONNELLE (NOTES DE SERVICE)</w:t>
      </w:r>
      <w:r w:rsidRPr="005F6860">
        <w:rPr>
          <w:noProof/>
          <w:color w:val="F4F4F4" w:themeColor="background2" w:themeTint="33"/>
          <w:lang w:eastAsia="fr-FR"/>
        </w:rPr>
        <w:t xml:space="preserve"> </w:t>
      </w: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2340"/>
        <w:gridCol w:w="1540"/>
        <w:gridCol w:w="1560"/>
      </w:tblGrid>
      <w:tr w:rsidR="007444D4" w:rsidRPr="007444D4" w:rsidTr="007444D4">
        <w:trPr>
          <w:trHeight w:val="1350"/>
        </w:trPr>
        <w:tc>
          <w:tcPr>
            <w:tcW w:w="3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b/>
                <w:bCs/>
                <w:color w:val="000000"/>
                <w:lang w:eastAsia="fr-FR"/>
              </w:rPr>
              <w:t>Partie organisationnelle (notes de service)</w:t>
            </w:r>
          </w:p>
        </w:tc>
        <w:tc>
          <w:tcPr>
            <w:tcW w:w="23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mode de réflexion </w:t>
            </w: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(réunion de service habituelle, atelier transversal, groupe de travail dédié, proposition des experts RH...)</w:t>
            </w:r>
          </w:p>
        </w:tc>
        <w:tc>
          <w:tcPr>
            <w:tcW w:w="154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personne chargée de l'argumentaire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fr-FR"/>
              </w:rPr>
              <w:t>décision</w:t>
            </w:r>
          </w:p>
        </w:tc>
      </w:tr>
      <w:tr w:rsidR="007444D4" w:rsidRPr="007444D4" w:rsidTr="007444D4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>uniformisation des outils de gestion des absences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CA3775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règles concernant les absences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CA3775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organisation des réunions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CA3775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quotité de temps administratif encadrants </w:t>
            </w:r>
            <w:r w:rsidR="00CA3775">
              <w:rPr>
                <w:rFonts w:ascii="Arial Narrow" w:eastAsia="Times New Roman" w:hAnsi="Arial Narrow" w:cs="Calibri"/>
                <w:color w:val="000000"/>
                <w:lang w:eastAsia="fr-FR"/>
              </w:rPr>
              <w:t>des équipements enfance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>horaires de travail des animateurs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>prise en compte de temps collectifs hors encadrement d'enfants dans l'annualisation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la mise en conformité des horaires de travail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>intégration des rem</w:t>
            </w: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placements pour absences prévues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les régimes de temps de travail des cadres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CA3775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les outils de suivi de l'annualisation partagés </w:t>
            </w:r>
            <w:r w:rsidR="00CA3775">
              <w:rPr>
                <w:rFonts w:ascii="Arial Narrow" w:eastAsia="Times New Roman" w:hAnsi="Arial Narrow" w:cs="Calibri"/>
                <w:color w:val="000000"/>
                <w:lang w:eastAsia="fr-FR"/>
              </w:rPr>
              <w:t>avec les agents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CA3775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>Les journées de travail liées aux événements culturels, manifestations…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souplesse, confiance et règles impératives dans les services administratifs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pointage automatisé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organisation des pics d'activité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>gestion des absences et de la continuité de</w:t>
            </w:r>
            <w:r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 service : pratiques et outils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les temps de regroupement entre collègues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>l'organisation du temps de travail l'été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la pause déjeuner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 xml:space="preserve">Les horaires et modalités d'accueil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444D4" w:rsidRPr="007444D4" w:rsidTr="007444D4">
        <w:trPr>
          <w:trHeight w:val="270"/>
        </w:trPr>
        <w:tc>
          <w:tcPr>
            <w:tcW w:w="358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lang w:eastAsia="fr-FR"/>
              </w:rPr>
              <w:t>…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444D4" w:rsidRPr="007444D4" w:rsidRDefault="007444D4" w:rsidP="007444D4">
            <w:pPr>
              <w:spacing w:before="0"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</w:pPr>
            <w:r w:rsidRPr="007444D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401B40" w:rsidRDefault="00401B40"/>
    <w:p w:rsidR="00401B40" w:rsidRDefault="00401B40">
      <w:r>
        <w:br w:type="page"/>
      </w:r>
    </w:p>
    <w:p w:rsidR="00401B40" w:rsidRPr="005F6860" w:rsidRDefault="005F6860" w:rsidP="005F6860">
      <w:pPr>
        <w:pStyle w:val="lieu"/>
        <w:rPr>
          <w:color w:val="F4F4F4" w:themeColor="background2" w:themeTint="33"/>
        </w:rPr>
      </w:pPr>
      <w:r w:rsidRPr="005F6860">
        <w:rPr>
          <w:noProof/>
          <w:color w:val="F4F4F4" w:themeColor="background2" w:themeTint="33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F974C4" wp14:editId="71013AA6">
                <wp:simplePos x="0" y="0"/>
                <wp:positionH relativeFrom="margin">
                  <wp:align>left</wp:align>
                </wp:positionH>
                <wp:positionV relativeFrom="paragraph">
                  <wp:posOffset>-64135</wp:posOffset>
                </wp:positionV>
                <wp:extent cx="5772150" cy="2698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269875"/>
                        </a:xfrm>
                        <a:prstGeom prst="rect">
                          <a:avLst/>
                        </a:prstGeom>
                        <a:solidFill>
                          <a:srgbClr val="329C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2DA3A1" id="Rectangle 5" o:spid="_x0000_s1026" style="position:absolute;margin-left:0;margin-top:-5.05pt;width:454.5pt;height:21.25pt;z-index:-2516500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" fillcolor="#329c9a" stroked="f" strokeweight="2pt">
                <w10:wrap anchorx="margin"/>
              </v:rect>
            </w:pict>
          </mc:Fallback>
        </mc:AlternateContent>
      </w:r>
      <w:r w:rsidRPr="005F6860">
        <w:rPr>
          <w:color w:val="F4F4F4" w:themeColor="background2" w:themeTint="33"/>
        </w:rPr>
        <w:t>TEMPS DE TRAVAIL EFFECTIF</w:t>
      </w:r>
    </w:p>
    <w:tbl>
      <w:tblPr>
        <w:tblStyle w:val="Grilledutableau"/>
        <w:tblW w:w="9075" w:type="dxa"/>
        <w:jc w:val="center"/>
        <w:tblLook w:val="04A0" w:firstRow="1" w:lastRow="0" w:firstColumn="1" w:lastColumn="0" w:noHBand="0" w:noVBand="1"/>
      </w:tblPr>
      <w:tblGrid>
        <w:gridCol w:w="2642"/>
        <w:gridCol w:w="1301"/>
        <w:gridCol w:w="1311"/>
        <w:gridCol w:w="1374"/>
        <w:gridCol w:w="1204"/>
        <w:gridCol w:w="1231"/>
        <w:gridCol w:w="12"/>
      </w:tblGrid>
      <w:tr w:rsidR="00401B40" w:rsidRPr="00401B40" w:rsidTr="00401B40">
        <w:trPr>
          <w:gridAfter w:val="1"/>
          <w:wAfter w:w="13" w:type="dxa"/>
          <w:trHeight w:val="510"/>
          <w:jc w:val="center"/>
        </w:trPr>
        <w:tc>
          <w:tcPr>
            <w:tcW w:w="9062" w:type="dxa"/>
            <w:gridSpan w:val="6"/>
            <w:vAlign w:val="center"/>
            <w:hideMark/>
          </w:tcPr>
          <w:p w:rsidR="00401B40" w:rsidRPr="00401B40" w:rsidRDefault="00401B40" w:rsidP="00401B40">
            <w:pPr>
              <w:jc w:val="center"/>
              <w:rPr>
                <w:b/>
                <w:bCs/>
              </w:rPr>
            </w:pPr>
            <w:r w:rsidRPr="00401B40">
              <w:rPr>
                <w:b/>
                <w:bCs/>
              </w:rPr>
              <w:t>Ce type de temps est-il considéré comme du temps de travail effectif comptabilisé dans les 1607 heures ?</w:t>
            </w:r>
          </w:p>
        </w:tc>
      </w:tr>
      <w:tr w:rsidR="00401B40" w:rsidRPr="00401B40" w:rsidTr="00401B40">
        <w:trPr>
          <w:trHeight w:val="102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oui, au regard de la règlementation nationale</w:t>
            </w: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non, au regard de la règlementation nationale</w:t>
            </w:r>
          </w:p>
        </w:tc>
        <w:tc>
          <w:tcPr>
            <w:tcW w:w="3981" w:type="dxa"/>
            <w:gridSpan w:val="4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à définir par la collectivité</w:t>
            </w: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Temps passé dans le service ou à l’extérieur dans le cadre des activités professionnelles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102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Temps d’astreinte sans activité (en dehors de l'horaire normal de travail), avec obligation pour l'agent de rester à son domicile ou à proximité en vue de répondre à un appel.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765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Temps d’intervention pendant une astreinte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durée d'intervention seule</w:t>
            </w: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durée d'intervention + temps de trajet depuis le domicile</w:t>
            </w: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durée d'intervention + temps de trajet depuis la résidence administrative du lieu d'embauche habituel</w:t>
            </w: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Déplacements professionnels accomplis pour raisons de service (validés par le chef de service)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Temps de trajet entre deux postes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Temps pendant lequel l’agent suit une formation autorisée par le chef de service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Temps de trajet pour se rendre à une formation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forfait</w:t>
            </w: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non comptabilisé comme temps travail</w:t>
            </w: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comptabilisé au réel</w:t>
            </w: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Temps pendant lequel l’agent dispense une formation (validé par le chef de service)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non comptabilisé comme temps travail</w:t>
            </w: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comptabilisé dans une limite de X jours / an (ex : pour le CNFPT)</w:t>
            </w: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Temps pendant lequel l’agent participe à un jury de concours (validé par le chef de service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non comptabilisé comme temps travail</w:t>
            </w: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comptabilisé dans une limite de X jours / an (ex : pour le CNFPT)</w:t>
            </w: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Visites médicales organisées par la médecine du travail ou de prévention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Bilan de santé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comptabilisé dans une limite de XX</w:t>
            </w: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non comptabilisé comme temps travail</w:t>
            </w: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Don de plaquette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comptabilisé dans une limite de XX (ex : 1/2 journée)</w:t>
            </w: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non comptabilisé comme temps travail</w:t>
            </w: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Don de sang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comptabilisé dans une limite de XX (ex : 2 heures)</w:t>
            </w: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non comptabilisé comme temps travail</w:t>
            </w: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Temps de propreté pour les travaux salissants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à préciser par note de service dans une limite de XX</w:t>
            </w: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102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Temps d’habillage et de déshabillage devant être réalisé sur le lieu de travail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à préciser par note de service dans une limite de XX</w:t>
            </w: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Il peut être compensé  si le port d’une tenue de travail est imposé et que les opérations d’habillage et de déshabillage doivent être réalisées dans l’entreprise</w:t>
            </w: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Décharges d’activité pour l’exercice du droit syndical dans la limite des crédits d’heures attribués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Les autorisations d’absences pour activité syndicale dans la limite des crédits d’heures attribués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765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Temps passé par les représentants du personnel en réunion organisée par l’administration (ne peut donner lieu à récupération)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Heure d’information syndicale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non comptabilisé</w:t>
            </w: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comptabilisé dans une limite de XX</w:t>
            </w: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765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Les autorisations d’absence pour la rentrée scolaire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non comptabilisé</w:t>
            </w: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récupération des heures d'absence (hors horaires habituels) dans une limite de… et sous conditions</w:t>
            </w: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 xml:space="preserve">absence autorisée sans récupération dans </w:t>
            </w:r>
            <w:proofErr w:type="spellStart"/>
            <w:r w:rsidRPr="00401B40">
              <w:t>ue</w:t>
            </w:r>
            <w:proofErr w:type="spellEnd"/>
            <w:r w:rsidRPr="00401B40">
              <w:t xml:space="preserve"> limite de… et sous conditions</w:t>
            </w: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Les autorisations d’absence pour les fonctions publiques électives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non comptabilisé</w:t>
            </w: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récupération des heures d'absence (hors horaires habituels) dans une limite de… et sous conditions</w:t>
            </w: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 xml:space="preserve">absence autorisée sans récupération dans </w:t>
            </w:r>
            <w:proofErr w:type="spellStart"/>
            <w:r w:rsidRPr="00401B40">
              <w:t>ue</w:t>
            </w:r>
            <w:proofErr w:type="spellEnd"/>
            <w:r w:rsidRPr="00401B40">
              <w:t xml:space="preserve"> limite de… et sous conditions</w:t>
            </w: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Les autorisations d’absence pour les fonctions mutualistes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non comptabilisé</w:t>
            </w: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récupération des heures d'absence (hors horaires habituels) dans une limite de… et sous conditions</w:t>
            </w: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 xml:space="preserve">absence autorisée sans récupération dans </w:t>
            </w:r>
            <w:proofErr w:type="spellStart"/>
            <w:r w:rsidRPr="00401B40">
              <w:t>ue</w:t>
            </w:r>
            <w:proofErr w:type="spellEnd"/>
            <w:r w:rsidRPr="00401B40">
              <w:t xml:space="preserve"> limite de… et sous conditions</w:t>
            </w: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Les autorisations d’absence pour raisons familiales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décret en cours</w:t>
            </w: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La préparation et la participation pour les membres élus aux organismes statutaires : CT, CAP, CCP et CHS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absence autorisée, ne peut pas donner lieu à récupération</w:t>
            </w: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Temps de pause méridienne obligatoire et d’une durée minimale de 45mn (hors journée continue)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préconisé</w:t>
            </w: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Temps de pause de 20 minutes minimum consécutif à six heures de travail en continu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765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Temps de restauration, dès lors que le salarié reste à la disposition de l’employeur et ne peut vaquer librement à des occupations personnelles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765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Temps de pause autorisé, dès lors que le salarié reste à la disposition de l’employeur et ne peut vaquer librement à des occupations personnelles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à règlementer par note de service</w:t>
            </w: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Congé pour formation syndicale dans un centre agréé dans une limite de 12 jours par an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Heures supplémentaires résultant d’un travail commandé par l’employeur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à règlementer : récupérées ou payées</w:t>
            </w: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51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Heures effectuées au-delà de l’horaire normal si elles n’ont pas été commandées par l’employeur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30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Congés annuels et bonifications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30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Jours RTT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  <w:tr w:rsidR="00401B40" w:rsidRPr="00401B40" w:rsidTr="00401B40">
        <w:trPr>
          <w:trHeight w:val="300"/>
          <w:jc w:val="center"/>
        </w:trPr>
        <w:tc>
          <w:tcPr>
            <w:tcW w:w="353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Jours fériés non travaillés</w:t>
            </w:r>
          </w:p>
        </w:tc>
        <w:tc>
          <w:tcPr>
            <w:tcW w:w="236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319" w:type="dxa"/>
            <w:vAlign w:val="center"/>
            <w:hideMark/>
          </w:tcPr>
          <w:p w:rsidR="00401B40" w:rsidRPr="00401B40" w:rsidRDefault="00401B40" w:rsidP="00401B40">
            <w:pPr>
              <w:jc w:val="center"/>
            </w:pPr>
            <w:r w:rsidRPr="00401B40">
              <w:t>X</w:t>
            </w:r>
          </w:p>
        </w:tc>
        <w:tc>
          <w:tcPr>
            <w:tcW w:w="1512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16" w:type="dxa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  <w:tc>
          <w:tcPr>
            <w:tcW w:w="1253" w:type="dxa"/>
            <w:gridSpan w:val="2"/>
            <w:shd w:val="clear" w:color="auto" w:fill="E8EAEB" w:themeFill="text1" w:themeFillTint="1A"/>
            <w:vAlign w:val="center"/>
            <w:hideMark/>
          </w:tcPr>
          <w:p w:rsidR="00401B40" w:rsidRPr="00401B40" w:rsidRDefault="00401B40" w:rsidP="00401B40">
            <w:pPr>
              <w:jc w:val="center"/>
            </w:pPr>
          </w:p>
        </w:tc>
      </w:tr>
    </w:tbl>
    <w:p w:rsidR="00401B40" w:rsidRDefault="00401B40"/>
    <w:sectPr w:rsidR="00401B40" w:rsidSect="00401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0A" w:rsidRDefault="00D9680A" w:rsidP="00D9680A">
      <w:pPr>
        <w:spacing w:before="0" w:after="0" w:line="240" w:lineRule="auto"/>
      </w:pPr>
      <w:r>
        <w:separator/>
      </w:r>
    </w:p>
  </w:endnote>
  <w:endnote w:type="continuationSeparator" w:id="0">
    <w:p w:rsidR="00D9680A" w:rsidRDefault="00D9680A" w:rsidP="00D968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vo">
    <w:panose1 w:val="02000000000000000000"/>
    <w:charset w:val="00"/>
    <w:family w:val="auto"/>
    <w:pitch w:val="variable"/>
    <w:sig w:usb0="A00000A7" w:usb1="08000041" w:usb2="14000000" w:usb3="00000000" w:csb0="00000111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FF" w:rsidRDefault="00C145F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80A" w:rsidRPr="00804524" w:rsidRDefault="00D9680A" w:rsidP="00D9680A">
    <w:pPr>
      <w:pStyle w:val="Pieddepage"/>
      <w:rPr>
        <w:rFonts w:asciiTheme="majorHAnsi" w:hAnsiTheme="majorHAnsi"/>
        <w:b/>
        <w:sz w:val="18"/>
      </w:rPr>
    </w:pPr>
    <w:r w:rsidRPr="00804524">
      <w:rPr>
        <w:rFonts w:asciiTheme="majorHAnsi" w:hAnsiTheme="majorHAnsi"/>
        <w:b/>
        <w:sz w:val="18"/>
      </w:rPr>
      <w:t>CENTRE DE GESTION DE LA FONCTION PUBLIQUE TERRITORIALE DE LOIRE ATLANTIQUE</w:t>
    </w:r>
  </w:p>
  <w:p w:rsidR="00D9680A" w:rsidRPr="00804524" w:rsidRDefault="00D9680A" w:rsidP="00D9680A">
    <w:pPr>
      <w:pStyle w:val="lieu"/>
      <w:ind w:left="0" w:right="198"/>
      <w:jc w:val="left"/>
      <w:rPr>
        <w:rFonts w:ascii="Arial" w:hAnsi="Arial" w:cs="Arial"/>
        <w:noProof/>
        <w:color w:val="auto"/>
        <w:sz w:val="18"/>
        <w:szCs w:val="18"/>
        <w:lang w:eastAsia="fr-FR"/>
      </w:rPr>
    </w:pPr>
    <w:r w:rsidRPr="00804524">
      <w:rPr>
        <w:rFonts w:ascii="Arial" w:hAnsi="Arial" w:cs="Arial"/>
        <w:noProof/>
        <w:color w:val="auto"/>
        <w:sz w:val="18"/>
        <w:szCs w:val="18"/>
        <w:lang w:eastAsia="fr-FR"/>
      </w:rPr>
      <w:t>Service Conseil et Accompagnement en Organisation et Ressources Humaines</w:t>
    </w:r>
  </w:p>
  <w:p w:rsidR="00D9680A" w:rsidRPr="00804524" w:rsidRDefault="00D9680A" w:rsidP="00D9680A">
    <w:pPr>
      <w:pStyle w:val="lieu"/>
      <w:ind w:left="0" w:right="198"/>
      <w:jc w:val="left"/>
      <w:rPr>
        <w:rFonts w:ascii="Arial" w:hAnsi="Arial" w:cs="Arial"/>
        <w:color w:val="auto"/>
        <w:sz w:val="18"/>
        <w:szCs w:val="18"/>
      </w:rPr>
    </w:pPr>
    <w:r w:rsidRPr="00804524">
      <w:rPr>
        <w:rFonts w:ascii="Arial" w:hAnsi="Arial" w:cs="Arial"/>
        <w:color w:val="auto"/>
        <w:sz w:val="18"/>
        <w:szCs w:val="18"/>
      </w:rPr>
      <w:sym w:font="Webdings" w:char="F0C5"/>
    </w:r>
    <w:r w:rsidRPr="00804524">
      <w:rPr>
        <w:rFonts w:ascii="Arial" w:hAnsi="Arial" w:cs="Arial"/>
        <w:color w:val="auto"/>
        <w:sz w:val="18"/>
        <w:szCs w:val="18"/>
      </w:rPr>
      <w:t xml:space="preserve"> 02.40.20.</w:t>
    </w:r>
    <w:r>
      <w:rPr>
        <w:rFonts w:ascii="Arial" w:hAnsi="Arial" w:cs="Arial"/>
        <w:color w:val="auto"/>
        <w:sz w:val="18"/>
        <w:szCs w:val="18"/>
      </w:rPr>
      <w:t>77.50</w:t>
    </w:r>
    <w:r w:rsidRPr="00804524">
      <w:rPr>
        <w:rFonts w:ascii="Arial" w:hAnsi="Arial" w:cs="Arial"/>
        <w:color w:val="auto"/>
        <w:sz w:val="18"/>
        <w:szCs w:val="18"/>
      </w:rPr>
      <w:t xml:space="preserve"> - </w:t>
    </w:r>
    <w:r w:rsidRPr="00804524">
      <w:rPr>
        <w:rFonts w:ascii="Arial" w:hAnsi="Arial" w:cs="Arial"/>
        <w:color w:val="auto"/>
        <w:sz w:val="18"/>
        <w:szCs w:val="18"/>
      </w:rPr>
      <w:sym w:font="Webdings" w:char="F0C6"/>
    </w:r>
    <w:r w:rsidRPr="00804524">
      <w:rPr>
        <w:rFonts w:ascii="Arial" w:hAnsi="Arial" w:cs="Arial"/>
        <w:color w:val="auto"/>
        <w:sz w:val="18"/>
        <w:szCs w:val="18"/>
      </w:rPr>
      <w:t xml:space="preserve">  </w:t>
    </w:r>
    <w:hyperlink r:id="rId1" w:history="1">
      <w:r w:rsidRPr="00804524">
        <w:rPr>
          <w:rStyle w:val="Lienhypertexte"/>
          <w:rFonts w:ascii="Arial" w:hAnsi="Arial" w:cs="Arial"/>
          <w:color w:val="auto"/>
          <w:sz w:val="18"/>
          <w:szCs w:val="18"/>
        </w:rPr>
        <w:t>conseilrh@cdg44.fr</w:t>
      </w:r>
    </w:hyperlink>
    <w:r w:rsidRPr="00804524">
      <w:rPr>
        <w:rStyle w:val="Lienhypertexte"/>
        <w:rFonts w:ascii="Arial" w:hAnsi="Arial" w:cs="Arial"/>
        <w:color w:val="auto"/>
        <w:sz w:val="18"/>
        <w:szCs w:val="18"/>
      </w:rPr>
      <w:t xml:space="preserve"> </w:t>
    </w:r>
    <w:r w:rsidRPr="00D9680A">
      <w:rPr>
        <w:rStyle w:val="Lienhypertexte"/>
        <w:rFonts w:ascii="Arial" w:hAnsi="Arial" w:cs="Arial"/>
        <w:color w:val="auto"/>
        <w:sz w:val="18"/>
        <w:szCs w:val="18"/>
        <w:u w:val="none"/>
      </w:rPr>
      <w:t>– wwwcdg44.fr</w:t>
    </w:r>
  </w:p>
  <w:p w:rsidR="00D9680A" w:rsidRDefault="00D9680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FF" w:rsidRDefault="00C145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0A" w:rsidRDefault="00D9680A" w:rsidP="00D9680A">
      <w:pPr>
        <w:spacing w:before="0" w:after="0" w:line="240" w:lineRule="auto"/>
      </w:pPr>
      <w:r>
        <w:separator/>
      </w:r>
    </w:p>
  </w:footnote>
  <w:footnote w:type="continuationSeparator" w:id="0">
    <w:p w:rsidR="00D9680A" w:rsidRDefault="00D9680A" w:rsidP="00D968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FF" w:rsidRDefault="00C145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FF" w:rsidRDefault="00C145F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5FF" w:rsidRDefault="00C145F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40"/>
    <w:rsid w:val="00401B40"/>
    <w:rsid w:val="005F6860"/>
    <w:rsid w:val="007444D4"/>
    <w:rsid w:val="009F26FB"/>
    <w:rsid w:val="00B9246C"/>
    <w:rsid w:val="00C145FF"/>
    <w:rsid w:val="00CA3775"/>
    <w:rsid w:val="00D9680A"/>
    <w:rsid w:val="00E32EDB"/>
    <w:rsid w:val="00FA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8A0C04-88F7-4F6E-95F3-4F02DDA7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B40"/>
  </w:style>
  <w:style w:type="paragraph" w:styleId="Titre1">
    <w:name w:val="heading 1"/>
    <w:basedOn w:val="Normal"/>
    <w:next w:val="Normal"/>
    <w:link w:val="Titre1Car"/>
    <w:uiPriority w:val="9"/>
    <w:qFormat/>
    <w:rsid w:val="00401B40"/>
    <w:pPr>
      <w:pBdr>
        <w:top w:val="single" w:sz="24" w:space="0" w:color="DB4151" w:themeColor="accent1"/>
        <w:left w:val="single" w:sz="24" w:space="0" w:color="DB4151" w:themeColor="accent1"/>
        <w:bottom w:val="single" w:sz="24" w:space="0" w:color="DB4151" w:themeColor="accent1"/>
        <w:right w:val="single" w:sz="24" w:space="0" w:color="DB4151" w:themeColor="accent1"/>
      </w:pBdr>
      <w:shd w:val="clear" w:color="auto" w:fill="DB4151" w:themeFill="accent1"/>
      <w:spacing w:after="0"/>
      <w:outlineLvl w:val="0"/>
    </w:pPr>
    <w:rPr>
      <w:caps/>
      <w:color w:val="EAEAEA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1B40"/>
    <w:pPr>
      <w:pBdr>
        <w:top w:val="single" w:sz="24" w:space="0" w:color="F7D8DB" w:themeColor="accent1" w:themeTint="33"/>
        <w:left w:val="single" w:sz="24" w:space="0" w:color="F7D8DB" w:themeColor="accent1" w:themeTint="33"/>
        <w:bottom w:val="single" w:sz="24" w:space="0" w:color="F7D8DB" w:themeColor="accent1" w:themeTint="33"/>
        <w:right w:val="single" w:sz="24" w:space="0" w:color="F7D8DB" w:themeColor="accent1" w:themeTint="33"/>
      </w:pBdr>
      <w:shd w:val="clear" w:color="auto" w:fill="F7D8DB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1B40"/>
    <w:pPr>
      <w:pBdr>
        <w:top w:val="single" w:sz="6" w:space="2" w:color="DB4151" w:themeColor="accent1"/>
      </w:pBdr>
      <w:spacing w:before="300" w:after="0"/>
      <w:outlineLvl w:val="2"/>
    </w:pPr>
    <w:rPr>
      <w:caps/>
      <w:color w:val="76162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1B40"/>
    <w:pPr>
      <w:pBdr>
        <w:top w:val="dotted" w:sz="6" w:space="2" w:color="DB4151" w:themeColor="accent1"/>
      </w:pBdr>
      <w:spacing w:before="200" w:after="0"/>
      <w:outlineLvl w:val="3"/>
    </w:pPr>
    <w:rPr>
      <w:caps/>
      <w:color w:val="B2223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1B40"/>
    <w:pPr>
      <w:pBdr>
        <w:bottom w:val="single" w:sz="6" w:space="1" w:color="DB4151" w:themeColor="accent1"/>
      </w:pBdr>
      <w:spacing w:before="200" w:after="0"/>
      <w:outlineLvl w:val="4"/>
    </w:pPr>
    <w:rPr>
      <w:caps/>
      <w:color w:val="B2223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1B40"/>
    <w:pPr>
      <w:pBdr>
        <w:bottom w:val="dotted" w:sz="6" w:space="1" w:color="DB4151" w:themeColor="accent1"/>
      </w:pBdr>
      <w:spacing w:before="200" w:after="0"/>
      <w:outlineLvl w:val="5"/>
    </w:pPr>
    <w:rPr>
      <w:caps/>
      <w:color w:val="B2223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1B40"/>
    <w:pPr>
      <w:spacing w:before="200" w:after="0"/>
      <w:outlineLvl w:val="6"/>
    </w:pPr>
    <w:rPr>
      <w:caps/>
      <w:color w:val="B2223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1B4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1B4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1B40"/>
    <w:rPr>
      <w:caps/>
      <w:color w:val="EAEAEA" w:themeColor="background1"/>
      <w:spacing w:val="15"/>
      <w:sz w:val="22"/>
      <w:szCs w:val="22"/>
      <w:shd w:val="clear" w:color="auto" w:fill="DB4151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401B40"/>
    <w:rPr>
      <w:caps/>
      <w:spacing w:val="15"/>
      <w:shd w:val="clear" w:color="auto" w:fill="F7D8DB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401B40"/>
    <w:rPr>
      <w:caps/>
      <w:color w:val="76162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01B40"/>
    <w:rPr>
      <w:caps/>
      <w:color w:val="B2223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01B40"/>
    <w:rPr>
      <w:caps/>
      <w:color w:val="B2223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01B40"/>
    <w:rPr>
      <w:caps/>
      <w:color w:val="B2223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01B40"/>
    <w:rPr>
      <w:caps/>
      <w:color w:val="B2223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01B4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01B40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01B40"/>
    <w:rPr>
      <w:b/>
      <w:bCs/>
      <w:color w:val="B2223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01B40"/>
    <w:pPr>
      <w:spacing w:before="0" w:after="0"/>
    </w:pPr>
    <w:rPr>
      <w:rFonts w:asciiTheme="majorHAnsi" w:eastAsiaTheme="majorEastAsia" w:hAnsiTheme="majorHAnsi" w:cstheme="majorBidi"/>
      <w:caps/>
      <w:color w:val="DB4151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1B40"/>
    <w:rPr>
      <w:rFonts w:asciiTheme="majorHAnsi" w:eastAsiaTheme="majorEastAsia" w:hAnsiTheme="majorHAnsi" w:cstheme="majorBidi"/>
      <w:caps/>
      <w:color w:val="DB4151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1B40"/>
    <w:pPr>
      <w:spacing w:before="0" w:after="500" w:line="240" w:lineRule="auto"/>
    </w:pPr>
    <w:rPr>
      <w:caps/>
      <w:color w:val="71797E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401B40"/>
    <w:rPr>
      <w:caps/>
      <w:color w:val="71797E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401B40"/>
    <w:rPr>
      <w:b/>
      <w:bCs/>
    </w:rPr>
  </w:style>
  <w:style w:type="character" w:styleId="Accentuation">
    <w:name w:val="Emphasis"/>
    <w:uiPriority w:val="20"/>
    <w:qFormat/>
    <w:rsid w:val="00401B40"/>
    <w:rPr>
      <w:caps/>
      <w:color w:val="761620" w:themeColor="accent1" w:themeShade="7F"/>
      <w:spacing w:val="5"/>
    </w:rPr>
  </w:style>
  <w:style w:type="paragraph" w:styleId="Sansinterligne">
    <w:name w:val="No Spacing"/>
    <w:uiPriority w:val="1"/>
    <w:qFormat/>
    <w:rsid w:val="00401B40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01B40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01B40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1B40"/>
    <w:pPr>
      <w:spacing w:before="240" w:after="240" w:line="240" w:lineRule="auto"/>
      <w:ind w:left="1080" w:right="1080"/>
      <w:jc w:val="center"/>
    </w:pPr>
    <w:rPr>
      <w:color w:val="DB4151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1B40"/>
    <w:rPr>
      <w:color w:val="DB4151" w:themeColor="accent1"/>
      <w:sz w:val="24"/>
      <w:szCs w:val="24"/>
    </w:rPr>
  </w:style>
  <w:style w:type="character" w:styleId="Emphaseple">
    <w:name w:val="Subtle Emphasis"/>
    <w:uiPriority w:val="19"/>
    <w:qFormat/>
    <w:rsid w:val="00401B40"/>
    <w:rPr>
      <w:i/>
      <w:iCs/>
      <w:color w:val="761620" w:themeColor="accent1" w:themeShade="7F"/>
    </w:rPr>
  </w:style>
  <w:style w:type="character" w:styleId="Emphaseintense">
    <w:name w:val="Intense Emphasis"/>
    <w:uiPriority w:val="21"/>
    <w:qFormat/>
    <w:rsid w:val="00401B40"/>
    <w:rPr>
      <w:b/>
      <w:bCs/>
      <w:caps/>
      <w:color w:val="761620" w:themeColor="accent1" w:themeShade="7F"/>
      <w:spacing w:val="10"/>
    </w:rPr>
  </w:style>
  <w:style w:type="character" w:styleId="Rfrenceple">
    <w:name w:val="Subtle Reference"/>
    <w:uiPriority w:val="31"/>
    <w:qFormat/>
    <w:rsid w:val="00401B40"/>
    <w:rPr>
      <w:b/>
      <w:bCs/>
      <w:color w:val="DB4151" w:themeColor="accent1"/>
    </w:rPr>
  </w:style>
  <w:style w:type="character" w:styleId="Rfrenceintense">
    <w:name w:val="Intense Reference"/>
    <w:uiPriority w:val="32"/>
    <w:qFormat/>
    <w:rsid w:val="00401B40"/>
    <w:rPr>
      <w:b/>
      <w:bCs/>
      <w:i/>
      <w:iCs/>
      <w:caps/>
      <w:color w:val="DB4151" w:themeColor="accent1"/>
    </w:rPr>
  </w:style>
  <w:style w:type="character" w:styleId="Titredulivre">
    <w:name w:val="Book Title"/>
    <w:uiPriority w:val="33"/>
    <w:qFormat/>
    <w:rsid w:val="00401B40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1B40"/>
    <w:pPr>
      <w:outlineLvl w:val="9"/>
    </w:pPr>
  </w:style>
  <w:style w:type="table" w:styleId="Grilledutableau">
    <w:name w:val="Table Grid"/>
    <w:basedOn w:val="TableauNormal"/>
    <w:uiPriority w:val="39"/>
    <w:rsid w:val="00401B4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968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80A"/>
  </w:style>
  <w:style w:type="paragraph" w:styleId="Pieddepage">
    <w:name w:val="footer"/>
    <w:basedOn w:val="Normal"/>
    <w:link w:val="PieddepageCar"/>
    <w:uiPriority w:val="99"/>
    <w:unhideWhenUsed/>
    <w:rsid w:val="00D968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80A"/>
  </w:style>
  <w:style w:type="character" w:styleId="Lienhypertexte">
    <w:name w:val="Hyperlink"/>
    <w:basedOn w:val="Policepardfaut"/>
    <w:uiPriority w:val="99"/>
    <w:unhideWhenUsed/>
    <w:rsid w:val="00D9680A"/>
    <w:rPr>
      <w:color w:val="0000FF"/>
      <w:u w:val="single"/>
    </w:rPr>
  </w:style>
  <w:style w:type="paragraph" w:customStyle="1" w:styleId="lieu">
    <w:name w:val="lieu"/>
    <w:basedOn w:val="Normal"/>
    <w:qFormat/>
    <w:rsid w:val="00D9680A"/>
    <w:pPr>
      <w:autoSpaceDE w:val="0"/>
      <w:autoSpaceDN w:val="0"/>
      <w:adjustRightInd w:val="0"/>
      <w:spacing w:before="0" w:after="0" w:line="240" w:lineRule="auto"/>
      <w:ind w:left="426" w:right="197"/>
      <w:jc w:val="both"/>
    </w:pPr>
    <w:rPr>
      <w:rFonts w:ascii="Arial Narrow" w:eastAsiaTheme="minorHAnsi" w:hAnsi="Arial Narrow" w:cs="Montserrat-Regular"/>
      <w:color w:val="999999" w:themeColor="accent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social@cdg44.fr" TargetMode="External"/></Relationships>
</file>

<file path=word/theme/theme1.xml><?xml version="1.0" encoding="utf-8"?>
<a:theme xmlns:a="http://schemas.openxmlformats.org/drawingml/2006/main" name="CDG44">
  <a:themeElements>
    <a:clrScheme name="CDG44">
      <a:dk1>
        <a:srgbClr val="2D3032"/>
      </a:dk1>
      <a:lt1>
        <a:srgbClr val="EAEAEA"/>
      </a:lt1>
      <a:dk2>
        <a:srgbClr val="999999"/>
      </a:dk2>
      <a:lt2>
        <a:srgbClr val="C8C8C8"/>
      </a:lt2>
      <a:accent1>
        <a:srgbClr val="DB4151"/>
      </a:accent1>
      <a:accent2>
        <a:srgbClr val="6B61A0"/>
      </a:accent2>
      <a:accent3>
        <a:srgbClr val="EC9522"/>
      </a:accent3>
      <a:accent4>
        <a:srgbClr val="464646"/>
      </a:accent4>
      <a:accent5>
        <a:srgbClr val="329C9A"/>
      </a:accent5>
      <a:accent6>
        <a:srgbClr val="999999"/>
      </a:accent6>
      <a:hlink>
        <a:srgbClr val="0000FF"/>
      </a:hlink>
      <a:folHlink>
        <a:srgbClr val="800080"/>
      </a:folHlink>
    </a:clrScheme>
    <a:fontScheme name="CDG44">
      <a:majorFont>
        <a:latin typeface="Arvo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1121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Giraud</dc:creator>
  <cp:keywords/>
  <dc:description/>
  <cp:lastModifiedBy>Mathilde Belleil</cp:lastModifiedBy>
  <cp:revision>8</cp:revision>
  <dcterms:created xsi:type="dcterms:W3CDTF">2020-09-17T13:45:00Z</dcterms:created>
  <dcterms:modified xsi:type="dcterms:W3CDTF">2021-03-17T11:10:00Z</dcterms:modified>
</cp:coreProperties>
</file>